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jc w:val="both"/>
        <w:rPr>
          <w:rFonts w:hint="eastAsia" w:ascii="宋体" w:hAnsi="宋体" w:eastAsia="宋体" w:cs="宋体"/>
          <w:b/>
          <w:bCs/>
          <w:color w:val="auto"/>
          <w:sz w:val="84"/>
          <w:szCs w:val="84"/>
          <w:highlight w:val="none"/>
        </w:rPr>
      </w:pPr>
      <w:r/>
      <w:bookmarkStart w:id="609" w:name="_GoBack"/>
      <w:r/>
      <w:r/>
    </w:p>
    <w:p>
      <w:pPr>
        <w:pStyle w:val="672"/>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72"/>
          <w:szCs w:val="72"/>
          <w:highlight w:val="none"/>
        </w:rPr>
        <w:t xml:space="preserve">招　标　文　件</w:t>
      </w:r>
      <w:r/>
    </w:p>
    <w:p>
      <w:pPr>
        <w:pStyle w:val="672"/>
        <w:spacing w:line="5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spacing w:line="5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spacing w:line="5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spacing w:line="5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rPr>
        <w:t xml:space="preserve">                                                                                                                                                                                                                                                                </w:t>
      </w:r>
      <w:r/>
    </w:p>
    <w:p>
      <w:pPr>
        <w:ind w:left="2266" w:hanging="2266"/>
        <w:jc w:val="left"/>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项目名称</w:t>
      </w:r>
      <w:r>
        <w:rPr>
          <w:rFonts w:hint="eastAsia" w:ascii="宋体" w:hAnsi="宋体" w:eastAsia="宋体" w:cs="宋体"/>
          <w:color w:val="auto"/>
          <w:sz w:val="44"/>
          <w:szCs w:val="44"/>
          <w:highlight w:val="none"/>
        </w:rPr>
        <w:t xml:space="preserve">：</w:t>
      </w:r>
      <w:r>
        <w:rPr>
          <w:rFonts w:hint="eastAsia" w:ascii="宋体" w:hAnsi="宋体" w:cs="宋体"/>
          <w:color w:val="auto"/>
          <w:sz w:val="44"/>
          <w:szCs w:val="44"/>
          <w:highlight w:val="none"/>
          <w:lang w:eastAsia="zh-CN"/>
        </w:rPr>
        <w:t xml:space="preserve">泰兴市人民医院保安服务项目</w:t>
      </w:r>
      <w:r>
        <w:rPr>
          <w:rFonts w:hint="eastAsia" w:ascii="宋体" w:hAnsi="宋体" w:eastAsia="宋体" w:cs="宋体"/>
          <w:b/>
          <w:bCs/>
          <w:color w:val="auto"/>
          <w:sz w:val="44"/>
          <w:szCs w:val="44"/>
          <w:highlight w:val="none"/>
        </w:rPr>
        <w:t xml:space="preserve"> </w:t>
      </w:r>
      <w:r/>
    </w:p>
    <w:p>
      <w:pPr>
        <w:widowControl/>
        <w:rPr>
          <w:rFonts w:hint="eastAsia" w:ascii="宋体" w:hAnsi="宋体" w:cs="宋体"/>
          <w:color w:val="auto"/>
          <w:sz w:val="44"/>
          <w:szCs w:val="44"/>
          <w:highlight w:val="none"/>
          <w:lang w:eastAsia="zh-CN"/>
        </w:rPr>
      </w:pPr>
      <w:r>
        <w:rPr>
          <w:rFonts w:hint="eastAsia" w:ascii="宋体" w:hAnsi="宋体" w:eastAsia="宋体" w:cs="宋体"/>
          <w:b/>
          <w:bCs/>
          <w:color w:val="auto"/>
          <w:sz w:val="44"/>
          <w:szCs w:val="44"/>
          <w:highlight w:val="none"/>
        </w:rPr>
        <w:t xml:space="preserve">项目编号：</w:t>
      </w:r>
      <w:r>
        <w:rPr>
          <w:rFonts w:hint="eastAsia" w:ascii="宋体" w:hAnsi="宋体" w:cs="宋体"/>
          <w:color w:val="auto"/>
          <w:sz w:val="44"/>
          <w:szCs w:val="44"/>
          <w:highlight w:val="none"/>
          <w:lang w:eastAsia="zh-CN"/>
        </w:rPr>
        <w:t xml:space="preserve">JSZC-321283-GXGL-G2026-0025</w:t>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643"/>
        <w:jc w:val="center"/>
        <w:spacing w:line="5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0"/>
        <w:ind w:left="0" w:firstLine="0"/>
        <w:jc w:val="center"/>
        <w:spacing w:line="500" w:lineRule="exact"/>
        <w:rPr>
          <w:rFonts w:hint="eastAsia" w:ascii="宋体" w:hAnsi="宋体" w:cs="宋体"/>
          <w:b/>
          <w:bCs/>
          <w:color w:val="auto"/>
          <w:sz w:val="30"/>
          <w:szCs w:val="30"/>
          <w:highlight w:val="none"/>
          <w:lang w:val="en-US" w:eastAsia="zh-CN"/>
        </w:rPr>
      </w:pPr>
      <w:r/>
      <w:bookmarkStart w:id="0" w:name="_Toc8578"/>
      <w:r>
        <w:rPr>
          <w:rFonts w:hint="eastAsia" w:ascii="宋体" w:hAnsi="宋体" w:eastAsia="宋体" w:cs="宋体"/>
          <w:b/>
          <w:bCs/>
          <w:color w:val="auto"/>
          <w:sz w:val="30"/>
          <w:szCs w:val="30"/>
          <w:highlight w:val="none"/>
        </w:rPr>
        <w:t xml:space="preserve">采购人：</w:t>
      </w:r>
      <w:bookmarkEnd w:id="0"/>
      <w:r>
        <w:rPr>
          <w:rFonts w:hint="eastAsia" w:ascii="宋体" w:hAnsi="宋体" w:cs="宋体"/>
          <w:b/>
          <w:bCs/>
          <w:color w:val="auto"/>
          <w:sz w:val="30"/>
          <w:szCs w:val="30"/>
          <w:highlight w:val="none"/>
          <w:lang w:val="en-US" w:eastAsia="zh-CN"/>
        </w:rPr>
        <w:t xml:space="preserve">泰兴市人民医院</w:t>
      </w:r>
      <w:bookmarkStart w:id="1" w:name="_Toc16534"/>
      <w:r/>
      <w:r/>
    </w:p>
    <w:p>
      <w:pPr>
        <w:pStyle w:val="690"/>
        <w:ind w:left="0" w:firstLine="0"/>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代理机构：</w:t>
      </w:r>
      <w:bookmarkEnd w:id="1"/>
      <w:r>
        <w:rPr>
          <w:rFonts w:hint="eastAsia" w:ascii="宋体" w:hAnsi="宋体" w:eastAsia="宋体" w:cs="宋体"/>
          <w:b/>
          <w:bCs/>
          <w:color w:val="auto"/>
          <w:sz w:val="30"/>
          <w:szCs w:val="30"/>
          <w:highlight w:val="none"/>
        </w:rPr>
        <w:t xml:space="preserve">江苏国兴建设项目管理有限公司</w:t>
      </w:r>
      <w:r/>
    </w:p>
    <w:p>
      <w:pPr>
        <w:pStyle w:val="690"/>
        <w:ind w:left="0" w:firstLine="0"/>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二○二</w:t>
      </w: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八</w:t>
      </w:r>
      <w:r>
        <w:rPr>
          <w:rFonts w:hint="eastAsia" w:ascii="宋体" w:hAnsi="宋体" w:eastAsia="宋体" w:cs="宋体"/>
          <w:b/>
          <w:bCs/>
          <w:color w:val="auto"/>
          <w:sz w:val="30"/>
          <w:szCs w:val="30"/>
          <w:highlight w:val="none"/>
        </w:rPr>
        <w:t xml:space="preserve">月</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690"/>
        <w:ind w:left="1110" w:firstLine="2259"/>
        <w:spacing w:line="36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sdt>
      <w:sdtPr>
        <w15:appearance w15:val="boundingBox"/>
        <w15:color w:val="dbdbdb"/>
        <w:id w:val="147455325"/>
        <w:docPartObj>
          <w:docPartGallery w:val="Table of Contents"/>
          <w:docPartUnique w:val="true"/>
        </w:docPartObj>
        <w:rPr>
          <w:rFonts w:ascii="宋体" w:hAnsi="宋体" w:eastAsia="宋体" w:cs="Times New Roman"/>
          <w:color w:val="auto"/>
          <w:sz w:val="21"/>
          <w:szCs w:val="24"/>
          <w:lang w:val="en-US" w:eastAsia="zh-CN" w:bidi="ar-SA"/>
        </w:rPr>
      </w:sdtPr>
      <w:sdtContent>
        <w:p>
          <w:pPr>
            <w:ind w:left="0" w:right="0" w:firstLine="0"/>
            <w:jc w:val="center"/>
            <w:spacing w:before="0" w:after="0" w:line="240" w:lineRule="auto"/>
            <w:rPr>
              <w:b/>
              <w:bCs/>
              <w:color w:val="auto"/>
              <w:sz w:val="32"/>
              <w:szCs w:val="32"/>
            </w:rPr>
          </w:pPr>
          <w:r>
            <w:rPr>
              <w:rFonts w:ascii="宋体" w:hAnsi="宋体" w:eastAsia="宋体"/>
              <w:b/>
              <w:bCs/>
              <w:color w:val="auto"/>
              <w:sz w:val="32"/>
              <w:szCs w:val="32"/>
            </w:rPr>
            <w:t xml:space="preserve">目录</w:t>
          </w:r>
          <w:r/>
        </w:p>
        <w:p>
          <w:pPr>
            <w:pStyle w:val="653"/>
            <w:keepLines w:val="0"/>
            <w:keepNext w:val="0"/>
            <w:pageBreakBefore w:val="0"/>
            <w:spacing w:line="400" w:lineRule="exact"/>
            <w:widowControl w:val="off"/>
            <w:tabs>
              <w:tab w:val="right" w:pos="8647" w:leader="dot"/>
            </w:tabs>
            <w:rPr>
              <w:color w:val="auto"/>
              <w:sz w:val="24"/>
              <w:szCs w:val="24"/>
            </w:rPr>
          </w:pPr>
          <w:r>
            <w:rPr>
              <w:color w:val="auto"/>
            </w:rPr>
            <w:fldChar w:fldCharType="begin"/>
          </w:r>
          <w:r>
            <w:rPr>
              <w:color w:val="auto"/>
            </w:rPr>
            <w:instrText xml:space="preserve">TOC \o "1-2" \h \u </w:instrText>
          </w:r>
          <w:r>
            <w:rPr>
              <w:color w:val="auto"/>
            </w:rPr>
            <w:fldChar w:fldCharType="separate"/>
          </w:r>
          <w:r>
            <w:rPr>
              <w:color w:val="auto"/>
              <w:sz w:val="24"/>
              <w:szCs w:val="24"/>
            </w:rPr>
            <w:fldChar w:fldCharType="begin"/>
          </w:r>
          <w:r>
            <w:rPr>
              <w:color w:val="auto"/>
              <w:sz w:val="24"/>
              <w:szCs w:val="24"/>
            </w:rPr>
            <w:instrText xml:space="preserve"> HYPERLINK \l _Toc22528 </w:instrText>
          </w:r>
          <w:r>
            <w:rPr>
              <w:color w:val="auto"/>
              <w:sz w:val="24"/>
              <w:szCs w:val="24"/>
            </w:rPr>
            <w:fldChar w:fldCharType="separate"/>
          </w:r>
          <w:r>
            <w:rPr>
              <w:rFonts w:hint="eastAsia" w:ascii="宋体" w:hAnsi="宋体" w:eastAsia="宋体" w:cs="宋体"/>
              <w:color w:val="auto"/>
              <w:sz w:val="24"/>
              <w:szCs w:val="24"/>
              <w:highlight w:val="none"/>
            </w:rPr>
            <w:t xml:space="preserve">第一章 招标公告</w:t>
          </w:r>
          <w:r>
            <w:rPr>
              <w:color w:val="auto"/>
              <w:sz w:val="24"/>
              <w:szCs w:val="24"/>
            </w:rPr>
            <w:tab/>
          </w:r>
          <w:r>
            <w:rPr>
              <w:color w:val="auto"/>
              <w:sz w:val="24"/>
              <w:szCs w:val="24"/>
            </w:rPr>
            <w:fldChar w:fldCharType="begin"/>
          </w:r>
          <w:r>
            <w:rPr>
              <w:color w:val="auto"/>
              <w:sz w:val="24"/>
              <w:szCs w:val="24"/>
            </w:rPr>
            <w:instrText xml:space="preserve"> PAGEREF _Toc22528 \h </w:instrText>
          </w:r>
          <w:r>
            <w:rPr>
              <w:color w:val="auto"/>
              <w:sz w:val="24"/>
              <w:szCs w:val="24"/>
            </w:rPr>
            <w:fldChar w:fldCharType="separate"/>
          </w:r>
          <w:r>
            <w:rPr>
              <w:color w:val="auto"/>
              <w:sz w:val="24"/>
              <w:szCs w:val="24"/>
            </w:rPr>
            <w:t xml:space="preserve">3</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_Toc433 </w:instrText>
          </w:r>
          <w:r>
            <w:rPr>
              <w:color w:val="auto"/>
              <w:sz w:val="24"/>
              <w:szCs w:val="24"/>
            </w:rPr>
            <w:fldChar w:fldCharType="separate"/>
          </w:r>
          <w:r>
            <w:rPr>
              <w:rFonts w:hint="eastAsia" w:ascii="宋体" w:hAnsi="宋体" w:eastAsia="宋体" w:cs="宋体"/>
              <w:color w:val="auto"/>
              <w:sz w:val="24"/>
              <w:szCs w:val="24"/>
              <w:highlight w:val="none"/>
            </w:rPr>
            <w:t xml:space="preserve">一、项目基本情况</w:t>
          </w:r>
          <w:r>
            <w:rPr>
              <w:color w:val="auto"/>
              <w:sz w:val="24"/>
              <w:szCs w:val="24"/>
            </w:rPr>
            <w:tab/>
          </w:r>
          <w:r>
            <w:rPr>
              <w:color w:val="auto"/>
              <w:sz w:val="24"/>
              <w:szCs w:val="24"/>
            </w:rPr>
            <w:fldChar w:fldCharType="begin"/>
          </w:r>
          <w:r>
            <w:rPr>
              <w:color w:val="auto"/>
              <w:sz w:val="24"/>
              <w:szCs w:val="24"/>
            </w:rPr>
            <w:instrText xml:space="preserve"> PAGEREF _Toc433 \h </w:instrText>
          </w:r>
          <w:r>
            <w:rPr>
              <w:color w:val="auto"/>
              <w:sz w:val="24"/>
              <w:szCs w:val="24"/>
            </w:rPr>
            <w:fldChar w:fldCharType="separate"/>
          </w:r>
          <w:r>
            <w:rPr>
              <w:color w:val="auto"/>
              <w:sz w:val="24"/>
              <w:szCs w:val="24"/>
            </w:rPr>
            <w:t xml:space="preserve">3</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_Toc789 </w:instrText>
          </w:r>
          <w:r>
            <w:rPr>
              <w:color w:val="auto"/>
              <w:sz w:val="24"/>
              <w:szCs w:val="24"/>
            </w:rPr>
            <w:fldChar w:fldCharType="separate"/>
          </w:r>
          <w:r>
            <w:rPr>
              <w:rFonts w:hint="eastAsia" w:ascii="宋体" w:hAnsi="宋体" w:eastAsia="宋体" w:cs="宋体"/>
              <w:color w:val="auto"/>
              <w:sz w:val="24"/>
              <w:szCs w:val="24"/>
              <w:highlight w:val="none"/>
            </w:rPr>
            <w:t xml:space="preserve">二、申请人的资格要求：</w:t>
          </w:r>
          <w:r>
            <w:rPr>
              <w:color w:val="auto"/>
              <w:sz w:val="24"/>
              <w:szCs w:val="24"/>
            </w:rPr>
            <w:tab/>
          </w:r>
          <w:r>
            <w:rPr>
              <w:color w:val="auto"/>
              <w:sz w:val="24"/>
              <w:szCs w:val="24"/>
            </w:rPr>
            <w:fldChar w:fldCharType="begin"/>
          </w:r>
          <w:r>
            <w:rPr>
              <w:color w:val="auto"/>
              <w:sz w:val="24"/>
              <w:szCs w:val="24"/>
            </w:rPr>
            <w:instrText xml:space="preserve"> PAGEREF _Toc789 \h </w:instrText>
          </w:r>
          <w:r>
            <w:rPr>
              <w:color w:val="auto"/>
              <w:sz w:val="24"/>
              <w:szCs w:val="24"/>
            </w:rPr>
            <w:fldChar w:fldCharType="separate"/>
          </w:r>
          <w:r>
            <w:rPr>
              <w:color w:val="auto"/>
              <w:sz w:val="24"/>
              <w:szCs w:val="24"/>
            </w:rPr>
            <w:t xml:space="preserve">3</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_Toc5368 </w:instrText>
          </w:r>
          <w:r>
            <w:rPr>
              <w:color w:val="auto"/>
              <w:sz w:val="24"/>
              <w:szCs w:val="24"/>
            </w:rPr>
            <w:fldChar w:fldCharType="separate"/>
          </w:r>
          <w:r>
            <w:rPr>
              <w:rFonts w:hint="eastAsia" w:ascii="宋体" w:hAnsi="宋体" w:eastAsia="宋体" w:cs="宋体"/>
              <w:color w:val="auto"/>
              <w:sz w:val="24"/>
              <w:szCs w:val="24"/>
              <w:highlight w:val="none"/>
            </w:rPr>
            <w:t xml:space="preserve">三、获取招标文件</w:t>
          </w:r>
          <w:r>
            <w:rPr>
              <w:color w:val="auto"/>
              <w:sz w:val="24"/>
              <w:szCs w:val="24"/>
            </w:rPr>
            <w:tab/>
          </w:r>
          <w:r>
            <w:rPr>
              <w:color w:val="auto"/>
              <w:sz w:val="24"/>
              <w:szCs w:val="24"/>
            </w:rPr>
            <w:fldChar w:fldCharType="begin"/>
          </w:r>
          <w:r>
            <w:rPr>
              <w:color w:val="auto"/>
              <w:sz w:val="24"/>
              <w:szCs w:val="24"/>
            </w:rPr>
            <w:instrText xml:space="preserve"> PAGEREF _Toc5368 \h </w:instrText>
          </w:r>
          <w:r>
            <w:rPr>
              <w:color w:val="auto"/>
              <w:sz w:val="24"/>
              <w:szCs w:val="24"/>
            </w:rPr>
            <w:fldChar w:fldCharType="separate"/>
          </w:r>
          <w:r>
            <w:rPr>
              <w:color w:val="auto"/>
              <w:sz w:val="24"/>
              <w:szCs w:val="24"/>
            </w:rPr>
            <w:t xml:space="preserve">3</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_Toc10449 </w:instrText>
          </w:r>
          <w:r>
            <w:rPr>
              <w:color w:val="auto"/>
              <w:sz w:val="24"/>
              <w:szCs w:val="24"/>
            </w:rPr>
            <w:fldChar w:fldCharType="separate"/>
          </w:r>
          <w:r>
            <w:rPr>
              <w:rFonts w:hint="eastAsia" w:ascii="宋体" w:hAnsi="宋体" w:eastAsia="宋体" w:cs="宋体"/>
              <w:color w:val="auto"/>
              <w:sz w:val="24"/>
              <w:szCs w:val="24"/>
              <w:highlight w:val="none"/>
            </w:rPr>
            <w:t xml:space="preserve">四、提交投标文件截止时间、开标时间和地点</w:t>
          </w:r>
          <w:r>
            <w:rPr>
              <w:color w:val="auto"/>
              <w:sz w:val="24"/>
              <w:szCs w:val="24"/>
            </w:rPr>
            <w:tab/>
          </w:r>
          <w:r>
            <w:rPr>
              <w:color w:val="auto"/>
              <w:sz w:val="24"/>
              <w:szCs w:val="24"/>
            </w:rPr>
            <w:fldChar w:fldCharType="begin"/>
          </w:r>
          <w:r>
            <w:rPr>
              <w:color w:val="auto"/>
              <w:sz w:val="24"/>
              <w:szCs w:val="24"/>
            </w:rPr>
            <w:instrText xml:space="preserve"> PAGEREF _Toc10449 \h </w:instrText>
          </w:r>
          <w:r>
            <w:rPr>
              <w:color w:val="auto"/>
              <w:sz w:val="24"/>
              <w:szCs w:val="24"/>
            </w:rPr>
            <w:fldChar w:fldCharType="separate"/>
          </w:r>
          <w:r>
            <w:rPr>
              <w:color w:val="auto"/>
              <w:sz w:val="24"/>
              <w:szCs w:val="24"/>
            </w:rPr>
            <w:t xml:space="preserve">4</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_Toc11694 </w:instrText>
          </w:r>
          <w:r>
            <w:rPr>
              <w:color w:val="auto"/>
              <w:sz w:val="24"/>
              <w:szCs w:val="24"/>
            </w:rPr>
            <w:fldChar w:fldCharType="separate"/>
          </w:r>
          <w:r>
            <w:rPr>
              <w:rFonts w:hint="eastAsia" w:ascii="宋体" w:hAnsi="宋体" w:eastAsia="宋体" w:cs="宋体"/>
              <w:color w:val="auto"/>
              <w:sz w:val="24"/>
              <w:szCs w:val="24"/>
              <w:highlight w:val="none"/>
            </w:rPr>
            <w:t xml:space="preserve">五、公告期限</w:t>
          </w:r>
          <w:r>
            <w:rPr>
              <w:color w:val="auto"/>
              <w:sz w:val="24"/>
              <w:szCs w:val="24"/>
            </w:rPr>
            <w:tab/>
          </w:r>
          <w:r>
            <w:rPr>
              <w:color w:val="auto"/>
              <w:sz w:val="24"/>
              <w:szCs w:val="24"/>
            </w:rPr>
            <w:fldChar w:fldCharType="begin"/>
          </w:r>
          <w:r>
            <w:rPr>
              <w:color w:val="auto"/>
              <w:sz w:val="24"/>
              <w:szCs w:val="24"/>
            </w:rPr>
            <w:instrText xml:space="preserve"> PAGEREF _Toc11694 \h </w:instrText>
          </w:r>
          <w:r>
            <w:rPr>
              <w:color w:val="auto"/>
              <w:sz w:val="24"/>
              <w:szCs w:val="24"/>
            </w:rPr>
            <w:fldChar w:fldCharType="separate"/>
          </w:r>
          <w:r>
            <w:rPr>
              <w:color w:val="auto"/>
              <w:sz w:val="24"/>
              <w:szCs w:val="24"/>
            </w:rPr>
            <w:t xml:space="preserve">4</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_Toc18188 </w:instrText>
          </w:r>
          <w:r>
            <w:rPr>
              <w:color w:val="auto"/>
              <w:sz w:val="24"/>
              <w:szCs w:val="24"/>
            </w:rPr>
            <w:fldChar w:fldCharType="separate"/>
          </w:r>
          <w:r>
            <w:rPr>
              <w:rFonts w:hint="eastAsia" w:ascii="宋体" w:hAnsi="宋体" w:eastAsia="宋体" w:cs="宋体"/>
              <w:color w:val="auto"/>
              <w:sz w:val="24"/>
              <w:szCs w:val="24"/>
              <w:highlight w:val="none"/>
            </w:rPr>
            <w:t xml:space="preserve">六、其他补充事宜</w:t>
          </w:r>
          <w:r>
            <w:rPr>
              <w:color w:val="auto"/>
              <w:sz w:val="24"/>
              <w:szCs w:val="24"/>
            </w:rPr>
            <w:tab/>
          </w:r>
          <w:r>
            <w:rPr>
              <w:color w:val="auto"/>
              <w:sz w:val="24"/>
              <w:szCs w:val="24"/>
            </w:rPr>
            <w:fldChar w:fldCharType="begin"/>
          </w:r>
          <w:r>
            <w:rPr>
              <w:color w:val="auto"/>
              <w:sz w:val="24"/>
              <w:szCs w:val="24"/>
            </w:rPr>
            <w:instrText xml:space="preserve"> PAGEREF _Toc18188 \h </w:instrText>
          </w:r>
          <w:r>
            <w:rPr>
              <w:color w:val="auto"/>
              <w:sz w:val="24"/>
              <w:szCs w:val="24"/>
            </w:rPr>
            <w:fldChar w:fldCharType="separate"/>
          </w:r>
          <w:r>
            <w:rPr>
              <w:color w:val="auto"/>
              <w:sz w:val="24"/>
              <w:szCs w:val="24"/>
            </w:rPr>
            <w:t xml:space="preserve">4</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_Toc1919 </w:instrText>
          </w:r>
          <w:r>
            <w:rPr>
              <w:color w:val="auto"/>
              <w:sz w:val="24"/>
              <w:szCs w:val="24"/>
            </w:rPr>
            <w:fldChar w:fldCharType="separate"/>
          </w:r>
          <w:r>
            <w:rPr>
              <w:rFonts w:hint="eastAsia" w:ascii="宋体" w:hAnsi="宋体" w:eastAsia="宋体" w:cs="宋体"/>
              <w:color w:val="auto"/>
              <w:sz w:val="24"/>
              <w:szCs w:val="24"/>
              <w:highlight w:val="none"/>
            </w:rPr>
            <w:t xml:space="preserve">七、对本次招标提出询问，请按以下方式联系。</w:t>
          </w:r>
          <w:r>
            <w:rPr>
              <w:color w:val="auto"/>
              <w:sz w:val="24"/>
              <w:szCs w:val="24"/>
            </w:rPr>
            <w:tab/>
          </w:r>
          <w:r>
            <w:rPr>
              <w:color w:val="auto"/>
              <w:sz w:val="24"/>
              <w:szCs w:val="24"/>
            </w:rPr>
            <w:fldChar w:fldCharType="begin"/>
          </w:r>
          <w:r>
            <w:rPr>
              <w:color w:val="auto"/>
              <w:sz w:val="24"/>
              <w:szCs w:val="24"/>
            </w:rPr>
            <w:instrText xml:space="preserve"> PAGEREF _Toc1919 \h </w:instrText>
          </w:r>
          <w:r>
            <w:rPr>
              <w:color w:val="auto"/>
              <w:sz w:val="24"/>
              <w:szCs w:val="24"/>
            </w:rPr>
            <w:fldChar w:fldCharType="separate"/>
          </w:r>
          <w:r>
            <w:rPr>
              <w:color w:val="auto"/>
              <w:sz w:val="24"/>
              <w:szCs w:val="24"/>
            </w:rPr>
            <w:t xml:space="preserve">4</w:t>
          </w:r>
          <w:r>
            <w:rPr>
              <w:color w:val="auto"/>
              <w:sz w:val="24"/>
              <w:szCs w:val="24"/>
            </w:rPr>
            <w:fldChar w:fldCharType="end"/>
          </w:r>
          <w:r>
            <w:rPr>
              <w:color w:val="auto"/>
              <w:sz w:val="24"/>
              <w:szCs w:val="24"/>
            </w:rPr>
            <w:fldChar w:fldCharType="end"/>
          </w:r>
          <w:r/>
        </w:p>
        <w:p>
          <w:pPr>
            <w:pStyle w:val="653"/>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_Toc8211 </w:instrText>
          </w:r>
          <w:r>
            <w:rPr>
              <w:color w:val="auto"/>
              <w:sz w:val="24"/>
              <w:szCs w:val="24"/>
            </w:rPr>
            <w:fldChar w:fldCharType="separate"/>
          </w:r>
          <w:r>
            <w:rPr>
              <w:rFonts w:hint="eastAsia" w:ascii="宋体" w:hAnsi="宋体" w:eastAsia="宋体" w:cs="宋体"/>
              <w:color w:val="auto"/>
              <w:sz w:val="24"/>
              <w:szCs w:val="24"/>
              <w:highlight w:val="none"/>
            </w:rPr>
            <w:t xml:space="preserve">第二章 供应商须知</w:t>
          </w:r>
          <w:r>
            <w:rPr>
              <w:color w:val="auto"/>
              <w:sz w:val="24"/>
              <w:szCs w:val="24"/>
            </w:rPr>
            <w:tab/>
          </w:r>
          <w:r>
            <w:rPr>
              <w:color w:val="auto"/>
              <w:sz w:val="24"/>
              <w:szCs w:val="24"/>
            </w:rPr>
            <w:fldChar w:fldCharType="begin"/>
          </w:r>
          <w:r>
            <w:rPr>
              <w:color w:val="auto"/>
              <w:sz w:val="24"/>
              <w:szCs w:val="24"/>
            </w:rPr>
            <w:instrText xml:space="preserve"> PAGEREF _Toc8211 \h </w:instrText>
          </w:r>
          <w:r>
            <w:rPr>
              <w:color w:val="auto"/>
              <w:sz w:val="24"/>
              <w:szCs w:val="24"/>
            </w:rPr>
            <w:fldChar w:fldCharType="separate"/>
          </w:r>
          <w:r>
            <w:rPr>
              <w:color w:val="auto"/>
              <w:sz w:val="24"/>
              <w:szCs w:val="24"/>
            </w:rPr>
            <w:t xml:space="preserve">6</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_Toc14081 </w:instrText>
          </w:r>
          <w:r>
            <w:rPr>
              <w:color w:val="auto"/>
              <w:sz w:val="24"/>
              <w:szCs w:val="24"/>
            </w:rPr>
            <w:fldChar w:fldCharType="separate"/>
          </w:r>
          <w:r>
            <w:rPr>
              <w:rFonts w:hint="eastAsia" w:ascii="宋体" w:hAnsi="宋体" w:eastAsia="宋体" w:cs="宋体"/>
              <w:color w:val="auto"/>
              <w:sz w:val="24"/>
              <w:szCs w:val="24"/>
              <w:highlight w:val="none"/>
            </w:rPr>
            <w:t xml:space="preserve">1.总则</w:t>
          </w:r>
          <w:r>
            <w:rPr>
              <w:color w:val="auto"/>
              <w:sz w:val="24"/>
              <w:szCs w:val="24"/>
            </w:rPr>
            <w:tab/>
          </w:r>
          <w:r>
            <w:rPr>
              <w:color w:val="auto"/>
              <w:sz w:val="24"/>
              <w:szCs w:val="24"/>
            </w:rPr>
            <w:fldChar w:fldCharType="begin"/>
          </w:r>
          <w:r>
            <w:rPr>
              <w:color w:val="auto"/>
              <w:sz w:val="24"/>
              <w:szCs w:val="24"/>
            </w:rPr>
            <w:instrText xml:space="preserve"> PAGEREF _Toc14081 \h </w:instrText>
          </w:r>
          <w:r>
            <w:rPr>
              <w:color w:val="auto"/>
              <w:sz w:val="24"/>
              <w:szCs w:val="24"/>
            </w:rPr>
            <w:fldChar w:fldCharType="separate"/>
          </w:r>
          <w:r>
            <w:rPr>
              <w:color w:val="auto"/>
              <w:sz w:val="24"/>
              <w:szCs w:val="24"/>
            </w:rPr>
            <w:t xml:space="preserve">8</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_Toc17202 </w:instrText>
          </w:r>
          <w:r>
            <w:rPr>
              <w:color w:val="auto"/>
              <w:sz w:val="24"/>
              <w:szCs w:val="24"/>
            </w:rPr>
            <w:fldChar w:fldCharType="separate"/>
          </w:r>
          <w:r>
            <w:rPr>
              <w:rFonts w:hint="eastAsia" w:ascii="宋体" w:hAnsi="宋体" w:eastAsia="宋体" w:cs="宋体"/>
              <w:color w:val="auto"/>
              <w:sz w:val="24"/>
              <w:szCs w:val="24"/>
              <w:highlight w:val="none"/>
            </w:rPr>
            <w:t xml:space="preserve">2. 招标文件</w:t>
          </w:r>
          <w:r>
            <w:rPr>
              <w:color w:val="auto"/>
              <w:sz w:val="24"/>
              <w:szCs w:val="24"/>
            </w:rPr>
            <w:tab/>
          </w:r>
          <w:r>
            <w:rPr>
              <w:color w:val="auto"/>
              <w:sz w:val="24"/>
              <w:szCs w:val="24"/>
            </w:rPr>
            <w:fldChar w:fldCharType="begin"/>
          </w:r>
          <w:r>
            <w:rPr>
              <w:color w:val="auto"/>
              <w:sz w:val="24"/>
              <w:szCs w:val="24"/>
            </w:rPr>
            <w:instrText xml:space="preserve"> PAGEREF _Toc17202 \h </w:instrText>
          </w:r>
          <w:r>
            <w:rPr>
              <w:color w:val="auto"/>
              <w:sz w:val="24"/>
              <w:szCs w:val="24"/>
            </w:rPr>
            <w:fldChar w:fldCharType="separate"/>
          </w:r>
          <w:r>
            <w:rPr>
              <w:color w:val="auto"/>
              <w:sz w:val="24"/>
              <w:szCs w:val="24"/>
            </w:rPr>
            <w:t xml:space="preserve">9</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_Toc23132 </w:instrText>
          </w:r>
          <w:r>
            <w:rPr>
              <w:color w:val="auto"/>
              <w:sz w:val="24"/>
              <w:szCs w:val="24"/>
            </w:rPr>
            <w:fldChar w:fldCharType="separate"/>
          </w:r>
          <w:r>
            <w:rPr>
              <w:rFonts w:hint="eastAsia" w:ascii="宋体" w:hAnsi="宋体" w:eastAsia="宋体" w:cs="宋体"/>
              <w:color w:val="auto"/>
              <w:sz w:val="24"/>
              <w:szCs w:val="24"/>
              <w:highlight w:val="none"/>
            </w:rPr>
            <w:t xml:space="preserve">3. 投标文件</w:t>
          </w:r>
          <w:r>
            <w:rPr>
              <w:color w:val="auto"/>
              <w:sz w:val="24"/>
              <w:szCs w:val="24"/>
            </w:rPr>
            <w:tab/>
          </w:r>
          <w:r>
            <w:rPr>
              <w:color w:val="auto"/>
              <w:sz w:val="24"/>
              <w:szCs w:val="24"/>
            </w:rPr>
            <w:fldChar w:fldCharType="begin"/>
          </w:r>
          <w:r>
            <w:rPr>
              <w:color w:val="auto"/>
              <w:sz w:val="24"/>
              <w:szCs w:val="24"/>
            </w:rPr>
            <w:instrText xml:space="preserve"> PAGEREF _Toc23132 \h </w:instrText>
          </w:r>
          <w:r>
            <w:rPr>
              <w:color w:val="auto"/>
              <w:sz w:val="24"/>
              <w:szCs w:val="24"/>
            </w:rPr>
            <w:fldChar w:fldCharType="separate"/>
          </w:r>
          <w:r>
            <w:rPr>
              <w:color w:val="auto"/>
              <w:sz w:val="24"/>
              <w:szCs w:val="24"/>
            </w:rPr>
            <w:t xml:space="preserve">10</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_Toc5531 </w:instrText>
          </w:r>
          <w:r>
            <w:rPr>
              <w:color w:val="auto"/>
              <w:sz w:val="24"/>
              <w:szCs w:val="24"/>
            </w:rPr>
            <w:fldChar w:fldCharType="separate"/>
          </w:r>
          <w:r>
            <w:rPr>
              <w:rFonts w:hint="eastAsia" w:ascii="宋体" w:hAnsi="宋体" w:eastAsia="宋体" w:cs="宋体"/>
              <w:color w:val="auto"/>
              <w:sz w:val="24"/>
              <w:szCs w:val="24"/>
              <w:highlight w:val="none"/>
            </w:rPr>
            <w:t xml:space="preserve">4.投标</w:t>
          </w:r>
          <w:r>
            <w:rPr>
              <w:color w:val="auto"/>
              <w:sz w:val="24"/>
              <w:szCs w:val="24"/>
            </w:rPr>
            <w:tab/>
          </w:r>
          <w:r>
            <w:rPr>
              <w:color w:val="auto"/>
              <w:sz w:val="24"/>
              <w:szCs w:val="24"/>
            </w:rPr>
            <w:fldChar w:fldCharType="begin"/>
          </w:r>
          <w:r>
            <w:rPr>
              <w:color w:val="auto"/>
              <w:sz w:val="24"/>
              <w:szCs w:val="24"/>
            </w:rPr>
            <w:instrText xml:space="preserve"> PAGEREF _Toc5531 \h </w:instrText>
          </w:r>
          <w:r>
            <w:rPr>
              <w:color w:val="auto"/>
              <w:sz w:val="24"/>
              <w:szCs w:val="24"/>
            </w:rPr>
            <w:fldChar w:fldCharType="separate"/>
          </w:r>
          <w:r>
            <w:rPr>
              <w:color w:val="auto"/>
              <w:sz w:val="24"/>
              <w:szCs w:val="24"/>
            </w:rPr>
            <w:t xml:space="preserve">11</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_Toc1500 </w:instrText>
          </w:r>
          <w:r>
            <w:rPr>
              <w:color w:val="auto"/>
              <w:sz w:val="24"/>
              <w:szCs w:val="24"/>
            </w:rPr>
            <w:fldChar w:fldCharType="separate"/>
          </w:r>
          <w:r>
            <w:rPr>
              <w:rFonts w:hint="eastAsia" w:ascii="宋体" w:hAnsi="宋体" w:eastAsia="宋体" w:cs="宋体"/>
              <w:color w:val="auto"/>
              <w:sz w:val="24"/>
              <w:szCs w:val="24"/>
              <w:highlight w:val="none"/>
            </w:rPr>
            <w:t xml:space="preserve">5. 开标</w:t>
          </w:r>
          <w:r>
            <w:rPr>
              <w:color w:val="auto"/>
              <w:sz w:val="24"/>
              <w:szCs w:val="24"/>
            </w:rPr>
            <w:tab/>
          </w:r>
          <w:r>
            <w:rPr>
              <w:color w:val="auto"/>
              <w:sz w:val="24"/>
              <w:szCs w:val="24"/>
            </w:rPr>
            <w:fldChar w:fldCharType="begin"/>
          </w:r>
          <w:r>
            <w:rPr>
              <w:color w:val="auto"/>
              <w:sz w:val="24"/>
              <w:szCs w:val="24"/>
            </w:rPr>
            <w:instrText xml:space="preserve"> PAGEREF _Toc1500 \h </w:instrText>
          </w:r>
          <w:r>
            <w:rPr>
              <w:color w:val="auto"/>
              <w:sz w:val="24"/>
              <w:szCs w:val="24"/>
            </w:rPr>
            <w:fldChar w:fldCharType="separate"/>
          </w:r>
          <w:r>
            <w:rPr>
              <w:color w:val="auto"/>
              <w:sz w:val="24"/>
              <w:szCs w:val="24"/>
            </w:rPr>
            <w:t xml:space="preserve">11</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_Toc8845 </w:instrText>
          </w:r>
          <w:r>
            <w:rPr>
              <w:color w:val="auto"/>
              <w:sz w:val="24"/>
              <w:szCs w:val="24"/>
            </w:rPr>
            <w:fldChar w:fldCharType="separate"/>
          </w:r>
          <w:r>
            <w:rPr>
              <w:rFonts w:hint="eastAsia" w:ascii="宋体" w:hAnsi="宋体" w:eastAsia="宋体" w:cs="宋体"/>
              <w:color w:val="auto"/>
              <w:sz w:val="24"/>
              <w:szCs w:val="24"/>
              <w:highlight w:val="none"/>
            </w:rPr>
            <w:t xml:space="preserve">6. 评标</w:t>
          </w:r>
          <w:r>
            <w:rPr>
              <w:color w:val="auto"/>
              <w:sz w:val="24"/>
              <w:szCs w:val="24"/>
            </w:rPr>
            <w:tab/>
          </w:r>
          <w:r>
            <w:rPr>
              <w:color w:val="auto"/>
              <w:sz w:val="24"/>
              <w:szCs w:val="24"/>
            </w:rPr>
            <w:fldChar w:fldCharType="begin"/>
          </w:r>
          <w:r>
            <w:rPr>
              <w:color w:val="auto"/>
              <w:sz w:val="24"/>
              <w:szCs w:val="24"/>
            </w:rPr>
            <w:instrText xml:space="preserve"> PAGEREF _Toc8845 \h </w:instrText>
          </w:r>
          <w:r>
            <w:rPr>
              <w:color w:val="auto"/>
              <w:sz w:val="24"/>
              <w:szCs w:val="24"/>
            </w:rPr>
            <w:fldChar w:fldCharType="separate"/>
          </w:r>
          <w:r>
            <w:rPr>
              <w:color w:val="auto"/>
              <w:sz w:val="24"/>
              <w:szCs w:val="24"/>
            </w:rPr>
            <w:t xml:space="preserve">12</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_Toc18890 </w:instrText>
          </w:r>
          <w:r>
            <w:rPr>
              <w:color w:val="auto"/>
              <w:sz w:val="24"/>
              <w:szCs w:val="24"/>
            </w:rPr>
            <w:fldChar w:fldCharType="separate"/>
          </w:r>
          <w:r>
            <w:rPr>
              <w:rFonts w:hint="eastAsia" w:ascii="宋体" w:hAnsi="宋体" w:eastAsia="宋体" w:cs="宋体"/>
              <w:color w:val="auto"/>
              <w:sz w:val="24"/>
              <w:szCs w:val="24"/>
              <w:highlight w:val="none"/>
            </w:rPr>
            <w:t xml:space="preserve">7.中标</w:t>
          </w:r>
          <w:r>
            <w:rPr>
              <w:color w:val="auto"/>
              <w:sz w:val="24"/>
              <w:szCs w:val="24"/>
            </w:rPr>
            <w:tab/>
          </w:r>
          <w:r>
            <w:rPr>
              <w:color w:val="auto"/>
              <w:sz w:val="24"/>
              <w:szCs w:val="24"/>
            </w:rPr>
            <w:fldChar w:fldCharType="begin"/>
          </w:r>
          <w:r>
            <w:rPr>
              <w:color w:val="auto"/>
              <w:sz w:val="24"/>
              <w:szCs w:val="24"/>
            </w:rPr>
            <w:instrText xml:space="preserve"> PAGEREF _Toc18890 \h </w:instrText>
          </w:r>
          <w:r>
            <w:rPr>
              <w:color w:val="auto"/>
              <w:sz w:val="24"/>
              <w:szCs w:val="24"/>
            </w:rPr>
            <w:fldChar w:fldCharType="separate"/>
          </w:r>
          <w:r>
            <w:rPr>
              <w:color w:val="auto"/>
              <w:sz w:val="24"/>
              <w:szCs w:val="24"/>
            </w:rPr>
            <w:t xml:space="preserve">13</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_Toc19222 </w:instrText>
          </w:r>
          <w:r>
            <w:rPr>
              <w:color w:val="auto"/>
              <w:sz w:val="24"/>
              <w:szCs w:val="24"/>
            </w:rPr>
            <w:fldChar w:fldCharType="separate"/>
          </w:r>
          <w:r>
            <w:rPr>
              <w:rFonts w:hint="eastAsia" w:ascii="宋体" w:hAnsi="宋体" w:eastAsia="宋体" w:cs="宋体"/>
              <w:color w:val="auto"/>
              <w:sz w:val="24"/>
              <w:szCs w:val="24"/>
              <w:highlight w:val="none"/>
            </w:rPr>
            <w:t xml:space="preserve">8.合同</w:t>
          </w:r>
          <w:r>
            <w:rPr>
              <w:color w:val="auto"/>
              <w:sz w:val="24"/>
              <w:szCs w:val="24"/>
            </w:rPr>
            <w:tab/>
          </w:r>
          <w:r>
            <w:rPr>
              <w:color w:val="auto"/>
              <w:sz w:val="24"/>
              <w:szCs w:val="24"/>
            </w:rPr>
            <w:fldChar w:fldCharType="begin"/>
          </w:r>
          <w:r>
            <w:rPr>
              <w:color w:val="auto"/>
              <w:sz w:val="24"/>
              <w:szCs w:val="24"/>
            </w:rPr>
            <w:instrText xml:space="preserve"> PAGEREF _Toc19222 \h </w:instrText>
          </w:r>
          <w:r>
            <w:rPr>
              <w:color w:val="auto"/>
              <w:sz w:val="24"/>
              <w:szCs w:val="24"/>
            </w:rPr>
            <w:fldChar w:fldCharType="separate"/>
          </w:r>
          <w:r>
            <w:rPr>
              <w:color w:val="auto"/>
              <w:sz w:val="24"/>
              <w:szCs w:val="24"/>
            </w:rPr>
            <w:t xml:space="preserve">13</w:t>
          </w:r>
          <w:r>
            <w:rPr>
              <w:color w:val="auto"/>
              <w:sz w:val="24"/>
              <w:szCs w:val="24"/>
            </w:rPr>
            <w:fldChar w:fldCharType="end"/>
          </w:r>
          <w:r>
            <w:rPr>
              <w:color w:val="auto"/>
              <w:sz w:val="24"/>
              <w:szCs w:val="24"/>
            </w:rPr>
            <w:fldChar w:fldCharType="end"/>
          </w:r>
          <w:r/>
        </w:p>
        <w:p>
          <w:pPr>
            <w:pStyle w:val="644"/>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_Toc21848 </w:instrText>
          </w:r>
          <w:r>
            <w:rPr>
              <w:color w:val="auto"/>
              <w:sz w:val="24"/>
              <w:szCs w:val="24"/>
            </w:rPr>
            <w:fldChar w:fldCharType="separate"/>
          </w:r>
          <w:r>
            <w:rPr>
              <w:rFonts w:hint="eastAsia" w:ascii="宋体" w:hAnsi="宋体" w:eastAsia="宋体" w:cs="宋体"/>
              <w:color w:val="auto"/>
              <w:sz w:val="24"/>
              <w:szCs w:val="24"/>
              <w:highlight w:val="none"/>
            </w:rPr>
            <w:t xml:space="preserve">9. 需要补充的其他内容</w:t>
          </w:r>
          <w:r>
            <w:rPr>
              <w:color w:val="auto"/>
              <w:sz w:val="24"/>
              <w:szCs w:val="24"/>
            </w:rPr>
            <w:tab/>
          </w:r>
          <w:r>
            <w:rPr>
              <w:color w:val="auto"/>
              <w:sz w:val="24"/>
              <w:szCs w:val="24"/>
            </w:rPr>
            <w:fldChar w:fldCharType="begin"/>
          </w:r>
          <w:r>
            <w:rPr>
              <w:color w:val="auto"/>
              <w:sz w:val="24"/>
              <w:szCs w:val="24"/>
            </w:rPr>
            <w:instrText xml:space="preserve"> PAGEREF _Toc21848 \h </w:instrText>
          </w:r>
          <w:r>
            <w:rPr>
              <w:color w:val="auto"/>
              <w:sz w:val="24"/>
              <w:szCs w:val="24"/>
            </w:rPr>
            <w:fldChar w:fldCharType="separate"/>
          </w:r>
          <w:r>
            <w:rPr>
              <w:color w:val="auto"/>
              <w:sz w:val="24"/>
              <w:szCs w:val="24"/>
            </w:rPr>
            <w:t xml:space="preserve">13</w:t>
          </w:r>
          <w:r>
            <w:rPr>
              <w:color w:val="auto"/>
              <w:sz w:val="24"/>
              <w:szCs w:val="24"/>
            </w:rPr>
            <w:fldChar w:fldCharType="end"/>
          </w:r>
          <w:r>
            <w:rPr>
              <w:color w:val="auto"/>
              <w:sz w:val="24"/>
              <w:szCs w:val="24"/>
            </w:rPr>
            <w:fldChar w:fldCharType="end"/>
          </w:r>
          <w:r/>
        </w:p>
        <w:p>
          <w:pPr>
            <w:pStyle w:val="653"/>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_Toc29326 </w:instrText>
          </w:r>
          <w:r>
            <w:rPr>
              <w:color w:val="auto"/>
              <w:sz w:val="24"/>
              <w:szCs w:val="24"/>
            </w:rPr>
            <w:fldChar w:fldCharType="separate"/>
          </w:r>
          <w:r>
            <w:rPr>
              <w:rFonts w:hint="eastAsia" w:ascii="宋体" w:hAnsi="宋体" w:eastAsia="宋体" w:cs="宋体"/>
              <w:color w:val="auto"/>
              <w:sz w:val="24"/>
              <w:szCs w:val="24"/>
              <w:highlight w:val="none"/>
            </w:rPr>
            <w:t xml:space="preserve">第三章 资格审查及评标办法</w:t>
          </w:r>
          <w:r>
            <w:rPr>
              <w:color w:val="auto"/>
              <w:sz w:val="24"/>
              <w:szCs w:val="24"/>
            </w:rPr>
            <w:tab/>
          </w:r>
          <w:r>
            <w:rPr>
              <w:color w:val="auto"/>
              <w:sz w:val="24"/>
              <w:szCs w:val="24"/>
            </w:rPr>
            <w:fldChar w:fldCharType="begin"/>
          </w:r>
          <w:r>
            <w:rPr>
              <w:color w:val="auto"/>
              <w:sz w:val="24"/>
              <w:szCs w:val="24"/>
            </w:rPr>
            <w:instrText xml:space="preserve"> PAGEREF _Toc29326 \h </w:instrText>
          </w:r>
          <w:r>
            <w:rPr>
              <w:color w:val="auto"/>
              <w:sz w:val="24"/>
              <w:szCs w:val="24"/>
            </w:rPr>
            <w:fldChar w:fldCharType="separate"/>
          </w:r>
          <w:r>
            <w:rPr>
              <w:color w:val="auto"/>
              <w:sz w:val="24"/>
              <w:szCs w:val="24"/>
            </w:rPr>
            <w:t xml:space="preserve">14</w:t>
          </w:r>
          <w:r>
            <w:rPr>
              <w:color w:val="auto"/>
              <w:sz w:val="24"/>
              <w:szCs w:val="24"/>
            </w:rPr>
            <w:fldChar w:fldCharType="end"/>
          </w:r>
          <w:r>
            <w:rPr>
              <w:color w:val="auto"/>
              <w:sz w:val="24"/>
              <w:szCs w:val="24"/>
            </w:rPr>
            <w:fldChar w:fldCharType="end"/>
          </w:r>
          <w:r/>
        </w:p>
        <w:p>
          <w:pPr>
            <w:pStyle w:val="653"/>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_Toc1883 </w:instrText>
          </w:r>
          <w:r>
            <w:rPr>
              <w:color w:val="auto"/>
              <w:sz w:val="24"/>
              <w:szCs w:val="24"/>
            </w:rPr>
            <w:fldChar w:fldCharType="separate"/>
          </w:r>
          <w:r>
            <w:rPr>
              <w:rFonts w:hint="eastAsia" w:ascii="宋体" w:hAnsi="宋体" w:eastAsia="宋体" w:cs="宋体"/>
              <w:color w:val="auto"/>
              <w:sz w:val="24"/>
              <w:szCs w:val="24"/>
            </w:rPr>
            <w:t xml:space="preserve">第四章 </w:t>
          </w:r>
          <w:r>
            <w:rPr>
              <w:rFonts w:hint="eastAsia" w:ascii="宋体" w:hAnsi="宋体" w:eastAsia="宋体" w:cs="宋体"/>
              <w:color w:val="auto"/>
              <w:sz w:val="24"/>
              <w:szCs w:val="24"/>
              <w:highlight w:val="none"/>
            </w:rPr>
            <w:t xml:space="preserve">合同条款（仅供参考）</w:t>
          </w:r>
          <w:r>
            <w:rPr>
              <w:color w:val="auto"/>
              <w:sz w:val="24"/>
              <w:szCs w:val="24"/>
            </w:rPr>
            <w:tab/>
          </w:r>
          <w:r>
            <w:rPr>
              <w:color w:val="auto"/>
              <w:sz w:val="24"/>
              <w:szCs w:val="24"/>
            </w:rPr>
            <w:fldChar w:fldCharType="begin"/>
          </w:r>
          <w:r>
            <w:rPr>
              <w:color w:val="auto"/>
              <w:sz w:val="24"/>
              <w:szCs w:val="24"/>
            </w:rPr>
            <w:instrText xml:space="preserve"> PAGEREF _Toc1883 \h </w:instrText>
          </w:r>
          <w:r>
            <w:rPr>
              <w:color w:val="auto"/>
              <w:sz w:val="24"/>
              <w:szCs w:val="24"/>
            </w:rPr>
            <w:fldChar w:fldCharType="separate"/>
          </w:r>
          <w:r>
            <w:rPr>
              <w:color w:val="auto"/>
              <w:sz w:val="24"/>
              <w:szCs w:val="24"/>
            </w:rPr>
            <w:t xml:space="preserve">24</w:t>
          </w:r>
          <w:r>
            <w:rPr>
              <w:color w:val="auto"/>
              <w:sz w:val="24"/>
              <w:szCs w:val="24"/>
            </w:rPr>
            <w:fldChar w:fldCharType="end"/>
          </w:r>
          <w:r>
            <w:rPr>
              <w:color w:val="auto"/>
              <w:sz w:val="24"/>
              <w:szCs w:val="24"/>
            </w:rPr>
            <w:fldChar w:fldCharType="end"/>
          </w:r>
          <w:r/>
        </w:p>
        <w:p>
          <w:pPr>
            <w:pStyle w:val="653"/>
            <w:keepLines w:val="0"/>
            <w:keepNext w:val="0"/>
            <w:pageBreakBefore w:val="0"/>
            <w:spacing w:line="400" w:lineRule="exact"/>
            <w:widowControl w:val="off"/>
            <w:tabs>
              <w:tab w:val="right" w:pos="8647" w:leader="dot"/>
            </w:tabs>
            <w:rPr>
              <w:color w:val="auto"/>
              <w:sz w:val="24"/>
              <w:szCs w:val="24"/>
            </w:rPr>
          </w:pPr>
          <w:r>
            <w:rPr>
              <w:color w:val="auto"/>
              <w:sz w:val="24"/>
              <w:szCs w:val="24"/>
            </w:rPr>
            <w:fldChar w:fldCharType="begin"/>
          </w:r>
          <w:r>
            <w:rPr>
              <w:color w:val="auto"/>
              <w:sz w:val="24"/>
              <w:szCs w:val="24"/>
            </w:rPr>
            <w:instrText xml:space="preserve"> HYPERLINK \l _Toc21814 </w:instrText>
          </w:r>
          <w:r>
            <w:rPr>
              <w:color w:val="auto"/>
              <w:sz w:val="24"/>
              <w:szCs w:val="24"/>
            </w:rPr>
            <w:fldChar w:fldCharType="separate"/>
          </w:r>
          <w:r>
            <w:rPr>
              <w:rFonts w:hint="eastAsia" w:ascii="宋体" w:hAnsi="宋体" w:eastAsia="宋体" w:cs="宋体"/>
              <w:color w:val="auto"/>
              <w:sz w:val="24"/>
              <w:szCs w:val="24"/>
            </w:rPr>
            <w:t xml:space="preserve">第五章 </w:t>
          </w:r>
          <w:r>
            <w:rPr>
              <w:rFonts w:hint="eastAsia" w:ascii="宋体" w:hAnsi="宋体" w:eastAsia="宋体" w:cs="宋体"/>
              <w:color w:val="auto"/>
              <w:sz w:val="24"/>
              <w:szCs w:val="24"/>
              <w:highlight w:val="none"/>
            </w:rPr>
            <w:t xml:space="preserve">采购需求</w:t>
          </w:r>
          <w:r>
            <w:rPr>
              <w:color w:val="auto"/>
              <w:sz w:val="24"/>
              <w:szCs w:val="24"/>
            </w:rPr>
            <w:tab/>
          </w:r>
          <w:r>
            <w:rPr>
              <w:color w:val="auto"/>
              <w:sz w:val="24"/>
              <w:szCs w:val="24"/>
            </w:rPr>
            <w:fldChar w:fldCharType="begin"/>
          </w:r>
          <w:r>
            <w:rPr>
              <w:color w:val="auto"/>
              <w:sz w:val="24"/>
              <w:szCs w:val="24"/>
            </w:rPr>
            <w:instrText xml:space="preserve"> PAGEREF _Toc21814 \h </w:instrText>
          </w:r>
          <w:r>
            <w:rPr>
              <w:color w:val="auto"/>
              <w:sz w:val="24"/>
              <w:szCs w:val="24"/>
            </w:rPr>
            <w:fldChar w:fldCharType="separate"/>
          </w:r>
          <w:r>
            <w:rPr>
              <w:color w:val="auto"/>
              <w:sz w:val="24"/>
              <w:szCs w:val="24"/>
            </w:rPr>
            <w:t xml:space="preserve">34</w:t>
          </w:r>
          <w:r>
            <w:rPr>
              <w:color w:val="auto"/>
              <w:sz w:val="24"/>
              <w:szCs w:val="24"/>
            </w:rPr>
            <w:fldChar w:fldCharType="end"/>
          </w:r>
          <w:r>
            <w:rPr>
              <w:color w:val="auto"/>
              <w:sz w:val="24"/>
              <w:szCs w:val="24"/>
            </w:rPr>
            <w:fldChar w:fldCharType="end"/>
          </w:r>
          <w:r/>
        </w:p>
        <w:p>
          <w:pPr>
            <w:pStyle w:val="653"/>
            <w:keepLines w:val="0"/>
            <w:keepNext w:val="0"/>
            <w:pageBreakBefore w:val="0"/>
            <w:spacing w:line="400" w:lineRule="exact"/>
            <w:widowControl w:val="off"/>
            <w:tabs>
              <w:tab w:val="right" w:pos="8647" w:leader="dot"/>
            </w:tabs>
            <w:rPr>
              <w:color w:val="auto"/>
            </w:rPr>
          </w:pPr>
          <w:r>
            <w:rPr>
              <w:color w:val="auto"/>
              <w:sz w:val="24"/>
              <w:szCs w:val="24"/>
            </w:rPr>
            <w:fldChar w:fldCharType="begin"/>
          </w:r>
          <w:r>
            <w:rPr>
              <w:color w:val="auto"/>
              <w:sz w:val="24"/>
              <w:szCs w:val="24"/>
            </w:rPr>
            <w:instrText xml:space="preserve"> HYPERLINK \l _Toc20158 </w:instrText>
          </w:r>
          <w:r>
            <w:rPr>
              <w:color w:val="auto"/>
              <w:sz w:val="24"/>
              <w:szCs w:val="24"/>
            </w:rPr>
            <w:fldChar w:fldCharType="separate"/>
          </w:r>
          <w:r>
            <w:rPr>
              <w:rFonts w:hint="eastAsia" w:ascii="宋体" w:hAnsi="宋体" w:eastAsia="宋体" w:cs="宋体"/>
              <w:color w:val="auto"/>
              <w:sz w:val="24"/>
              <w:szCs w:val="24"/>
              <w:highlight w:val="none"/>
            </w:rPr>
            <w:t xml:space="preserve">第六章 投标文件的编制要求及参考格式</w:t>
          </w:r>
          <w:r>
            <w:rPr>
              <w:color w:val="auto"/>
              <w:sz w:val="24"/>
              <w:szCs w:val="24"/>
            </w:rPr>
            <w:tab/>
          </w:r>
          <w:r>
            <w:rPr>
              <w:color w:val="auto"/>
              <w:sz w:val="24"/>
              <w:szCs w:val="24"/>
            </w:rPr>
            <w:fldChar w:fldCharType="begin"/>
          </w:r>
          <w:r>
            <w:rPr>
              <w:color w:val="auto"/>
              <w:sz w:val="24"/>
              <w:szCs w:val="24"/>
            </w:rPr>
            <w:instrText xml:space="preserve"> PAGEREF _Toc20158 \h </w:instrText>
          </w:r>
          <w:r>
            <w:rPr>
              <w:color w:val="auto"/>
              <w:sz w:val="24"/>
              <w:szCs w:val="24"/>
            </w:rPr>
            <w:fldChar w:fldCharType="separate"/>
          </w:r>
          <w:r>
            <w:rPr>
              <w:color w:val="auto"/>
              <w:sz w:val="24"/>
              <w:szCs w:val="24"/>
            </w:rPr>
            <w:t xml:space="preserve">43</w:t>
          </w:r>
          <w:r>
            <w:rPr>
              <w:color w:val="auto"/>
              <w:sz w:val="24"/>
              <w:szCs w:val="24"/>
            </w:rPr>
            <w:fldChar w:fldCharType="end"/>
          </w:r>
          <w:r>
            <w:rPr>
              <w:color w:val="auto"/>
              <w:sz w:val="24"/>
              <w:szCs w:val="24"/>
            </w:rPr>
            <w:fldChar w:fldCharType="end"/>
          </w:r>
          <w:r/>
        </w:p>
        <w:p>
          <w:pPr>
            <w:pStyle w:val="653"/>
            <w:tabs>
              <w:tab w:val="right" w:pos="8647" w:leader="dot"/>
            </w:tabs>
            <w:rPr>
              <w:color w:val="auto"/>
            </w:rPr>
          </w:pPr>
          <w:r>
            <w:rPr>
              <w:color w:val="auto"/>
            </w:rPr>
          </w:r>
          <w:r/>
        </w:p>
        <w:p>
          <w:pPr>
            <w:rPr>
              <w:color w:val="auto"/>
            </w:rPr>
          </w:pPr>
          <w:r>
            <w:rPr>
              <w:color w:val="auto"/>
            </w:rPr>
            <w:fldChar w:fldCharType="end"/>
          </w:r>
          <w:r/>
        </w:p>
      </w:sdtContent>
    </w:sdt>
    <w:p>
      <w:pPr>
        <w:rPr>
          <w:color w:val="auto"/>
        </w:rPr>
      </w:pPr>
      <w:r>
        <w:rPr>
          <w:color w:val="auto"/>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655"/>
        <w:ind w:left="0" w:firstLine="0"/>
        <w:jc w:val="center"/>
        <w:spacing w:line="500" w:lineRule="exact"/>
        <w:tabs>
          <w:tab w:val="left" w:pos="3240" w:leader="none"/>
        </w:tabs>
        <w:rPr>
          <w:rFonts w:hint="eastAsia" w:ascii="宋体" w:hAnsi="宋体" w:eastAsia="宋体" w:cs="宋体"/>
          <w:b/>
          <w:color w:val="auto"/>
          <w:highlight w:val="none"/>
        </w:rPr>
        <w:outlineLvl w:val="0"/>
      </w:pPr>
      <w:r/>
      <w:bookmarkStart w:id="2" w:name="_Toc22528"/>
      <w:r>
        <w:rPr>
          <w:rFonts w:hint="eastAsia" w:ascii="宋体" w:hAnsi="宋体" w:eastAsia="宋体" w:cs="宋体"/>
          <w:b/>
          <w:color w:val="auto"/>
          <w:highlight w:val="none"/>
        </w:rPr>
        <w:t xml:space="preserve">第一章 招标公告</w:t>
      </w:r>
      <w:bookmarkEnd w:id="2"/>
      <w:r/>
      <w:r/>
    </w:p>
    <w:p>
      <w:pPr>
        <w:spacing w:line="46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项目概况</w:t>
      </w:r>
      <w:r/>
    </w:p>
    <w:p>
      <w:pPr>
        <w:ind w:firstLine="560"/>
        <w:spacing w:line="46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 xml:space="preserve">泰兴市人民医院保安服务项目</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的潜在供应商应在</w:t>
      </w:r>
      <w:r>
        <w:rPr>
          <w:rFonts w:hint="eastAsia" w:ascii="宋体" w:hAnsi="宋体" w:eastAsia="宋体" w:cs="宋体"/>
          <w:color w:val="auto"/>
          <w:sz w:val="28"/>
          <w:szCs w:val="28"/>
          <w:highlight w:val="none"/>
          <w:u w:val="single"/>
        </w:rPr>
        <w:t xml:space="preserve">“江苏政府采购网”获取招标文件</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u w:val="single"/>
        </w:rPr>
        <w:t xml:space="preserve">202</w:t>
      </w:r>
      <w:r>
        <w:rPr>
          <w:rFonts w:hint="eastAsia" w:ascii="宋体" w:hAnsi="宋体" w:cs="宋体"/>
          <w:color w:val="auto"/>
          <w:sz w:val="28"/>
          <w:szCs w:val="28"/>
          <w:highlight w:val="none"/>
          <w:u w:val="single"/>
          <w:lang w:val="en-US" w:eastAsia="zh-CN"/>
        </w:rPr>
        <w:t xml:space="preserve">6</w:t>
      </w:r>
      <w:r>
        <w:rPr>
          <w:rFonts w:hint="eastAsia" w:ascii="宋体" w:hAnsi="宋体" w:eastAsia="宋体" w:cs="宋体"/>
          <w:bCs/>
          <w:color w:val="auto"/>
          <w:sz w:val="28"/>
          <w:szCs w:val="28"/>
          <w:highlight w:val="none"/>
          <w:u w:val="single"/>
        </w:rPr>
        <w:t xml:space="preserve">年</w:t>
      </w:r>
      <w:r>
        <w:rPr>
          <w:rFonts w:hint="eastAsia" w:ascii="宋体" w:hAnsi="宋体" w:cs="宋体"/>
          <w:bCs/>
          <w:color w:val="auto"/>
          <w:sz w:val="28"/>
          <w:szCs w:val="28"/>
          <w:highlight w:val="none"/>
          <w:u w:val="single"/>
          <w:lang w:val="en-US" w:eastAsia="zh-CN"/>
        </w:rPr>
        <w:t xml:space="preserve">9</w:t>
      </w:r>
      <w:r>
        <w:rPr>
          <w:rFonts w:hint="eastAsia" w:ascii="宋体" w:hAnsi="宋体" w:eastAsia="宋体" w:cs="宋体"/>
          <w:bCs/>
          <w:color w:val="auto"/>
          <w:sz w:val="28"/>
          <w:szCs w:val="28"/>
          <w:highlight w:val="none"/>
          <w:u w:val="single"/>
        </w:rPr>
        <w:t xml:space="preserve">月</w:t>
      </w:r>
      <w:r>
        <w:rPr>
          <w:rFonts w:hint="eastAsia" w:ascii="宋体" w:hAnsi="宋体" w:cs="宋体"/>
          <w:bCs/>
          <w:color w:val="auto"/>
          <w:sz w:val="28"/>
          <w:szCs w:val="28"/>
          <w:highlight w:val="none"/>
          <w:u w:val="single"/>
          <w:lang w:val="en-US" w:eastAsia="zh-CN"/>
        </w:rPr>
        <w:t xml:space="preserve">18</w:t>
      </w:r>
      <w:r>
        <w:rPr>
          <w:rFonts w:hint="eastAsia" w:ascii="宋体" w:hAnsi="宋体" w:eastAsia="宋体" w:cs="宋体"/>
          <w:bCs/>
          <w:color w:val="auto"/>
          <w:sz w:val="28"/>
          <w:szCs w:val="28"/>
          <w:highlight w:val="none"/>
          <w:u w:val="single"/>
        </w:rPr>
        <w:t xml:space="preserve">日</w:t>
      </w:r>
      <w:r>
        <w:rPr>
          <w:rFonts w:hint="eastAsia" w:ascii="宋体" w:hAnsi="宋体" w:cs="宋体"/>
          <w:bCs/>
          <w:color w:val="auto"/>
          <w:sz w:val="28"/>
          <w:szCs w:val="28"/>
          <w:highlight w:val="none"/>
          <w:u w:val="single"/>
          <w:lang w:val="en-US" w:eastAsia="zh-CN"/>
        </w:rPr>
        <w:t xml:space="preserve">15</w:t>
      </w:r>
      <w:r>
        <w:rPr>
          <w:rFonts w:hint="eastAsia" w:ascii="宋体" w:hAnsi="宋体" w:eastAsia="宋体" w:cs="宋体"/>
          <w:bCs/>
          <w:color w:val="auto"/>
          <w:sz w:val="28"/>
          <w:szCs w:val="28"/>
          <w:highlight w:val="none"/>
          <w:u w:val="single"/>
        </w:rPr>
        <w:t xml:space="preserve">点</w:t>
      </w:r>
      <w:r>
        <w:rPr>
          <w:rFonts w:hint="eastAsia" w:ascii="宋体" w:hAnsi="宋体" w:cs="宋体"/>
          <w:bCs/>
          <w:color w:val="auto"/>
          <w:sz w:val="28"/>
          <w:szCs w:val="28"/>
          <w:highlight w:val="none"/>
          <w:u w:val="single"/>
          <w:lang w:val="en-US" w:eastAsia="zh-CN"/>
        </w:rPr>
        <w:t xml:space="preserve">00</w:t>
      </w:r>
      <w:r>
        <w:rPr>
          <w:rFonts w:hint="eastAsia" w:ascii="宋体" w:hAnsi="宋体" w:eastAsia="宋体" w:cs="宋体"/>
          <w:bCs/>
          <w:color w:val="auto"/>
          <w:sz w:val="28"/>
          <w:szCs w:val="28"/>
          <w:highlight w:val="none"/>
          <w:u w:val="single"/>
        </w:rPr>
        <w:t xml:space="preserve">分（</w:t>
      </w:r>
      <w:r>
        <w:rPr>
          <w:rFonts w:hint="eastAsia" w:ascii="宋体" w:hAnsi="宋体" w:eastAsia="宋体" w:cs="宋体"/>
          <w:bCs/>
          <w:color w:val="auto"/>
          <w:sz w:val="28"/>
          <w:szCs w:val="28"/>
          <w:highlight w:val="none"/>
        </w:rPr>
        <w:t xml:space="preserve">北京时间）前递交投标文件</w:t>
      </w:r>
      <w:r>
        <w:rPr>
          <w:rFonts w:hint="eastAsia" w:ascii="宋体" w:hAnsi="宋体" w:eastAsia="宋体" w:cs="宋体"/>
          <w:color w:val="auto"/>
          <w:sz w:val="28"/>
          <w:szCs w:val="28"/>
          <w:highlight w:val="none"/>
        </w:rPr>
        <w:t xml:space="preserve">。</w:t>
      </w:r>
      <w:bookmarkStart w:id="3" w:name="_Toc28359002"/>
      <w:r/>
      <w:bookmarkStart w:id="4" w:name="_Toc35393621"/>
      <w:r/>
      <w:bookmarkStart w:id="5" w:name="_Toc28359079"/>
      <w:r/>
      <w:bookmarkStart w:id="6" w:name="_Toc35393790"/>
      <w:r/>
      <w:bookmarkStart w:id="7" w:name="_Hlk24379207"/>
      <w:r/>
      <w:r/>
    </w:p>
    <w:p>
      <w:pPr>
        <w:ind w:firstLine="562"/>
        <w:spacing w:line="460" w:lineRule="exact"/>
        <w:rPr>
          <w:rFonts w:hint="eastAsia" w:ascii="宋体" w:hAnsi="宋体" w:eastAsia="宋体" w:cs="宋体"/>
          <w:b/>
          <w:color w:val="auto"/>
          <w:sz w:val="28"/>
          <w:szCs w:val="28"/>
          <w:highlight w:val="none"/>
        </w:rPr>
        <w:outlineLvl w:val="1"/>
      </w:pPr>
      <w:r/>
      <w:bookmarkStart w:id="8" w:name="_Toc433"/>
      <w:r>
        <w:rPr>
          <w:rFonts w:hint="eastAsia" w:ascii="宋体" w:hAnsi="宋体" w:eastAsia="宋体" w:cs="宋体"/>
          <w:b/>
          <w:color w:val="auto"/>
          <w:sz w:val="28"/>
          <w:szCs w:val="28"/>
          <w:highlight w:val="none"/>
        </w:rPr>
        <w:t xml:space="preserve">一、项目基本情况</w:t>
      </w:r>
      <w:bookmarkEnd w:id="3"/>
      <w:r/>
      <w:bookmarkEnd w:id="4"/>
      <w:r/>
      <w:bookmarkEnd w:id="5"/>
      <w:r/>
      <w:bookmarkEnd w:id="6"/>
      <w:r/>
      <w:bookmarkEnd w:id="8"/>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1.项目编号：JSZC-321283-GXGL-G2026-0025</w:t>
      </w:r>
      <w:r>
        <w:rPr>
          <w:rFonts w:hint="eastAsia" w:ascii="宋体" w:hAnsi="宋体" w:cs="宋体"/>
          <w:color w:val="auto"/>
          <w:sz w:val="28"/>
          <w:szCs w:val="28"/>
          <w:highlight w:val="none"/>
          <w:lang w:val="en-US" w:eastAsia="zh-CN"/>
        </w:rPr>
        <w:t xml:space="preserve">                      </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2.项目名称：</w:t>
      </w:r>
      <w:bookmarkEnd w:id="7"/>
      <w:r>
        <w:rPr>
          <w:rFonts w:hint="eastAsia" w:ascii="宋体" w:hAnsi="宋体" w:cs="宋体"/>
          <w:color w:val="auto"/>
          <w:sz w:val="28"/>
          <w:szCs w:val="28"/>
          <w:highlight w:val="none"/>
          <w:lang w:eastAsia="zh-CN"/>
        </w:rPr>
        <w:t xml:space="preserve">泰兴市人民医院保安服务项目</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3.采购方式：</w:t>
      </w:r>
      <w:r>
        <w:rPr>
          <w:rFonts w:hint="eastAsia" w:ascii="宋体" w:hAnsi="宋体" w:eastAsia="宋体" w:cs="宋体"/>
          <w:color w:val="auto"/>
          <w:sz w:val="28"/>
          <w:szCs w:val="28"/>
          <w:highlight w:val="none"/>
          <w:lang w:val="en-US" w:eastAsia="zh-CN"/>
        </w:rPr>
        <w:t xml:space="preserve">公开招标</w:t>
      </w:r>
      <w:r>
        <w:rPr>
          <w:rFonts w:hint="eastAsia" w:ascii="宋体" w:hAnsi="宋体" w:eastAsia="宋体" w:cs="宋体"/>
          <w:color w:val="auto"/>
          <w:sz w:val="28"/>
          <w:szCs w:val="28"/>
          <w:highlight w:val="none"/>
        </w:rPr>
        <w:t xml:space="preserve"> </w:t>
      </w:r>
      <w:r/>
    </w:p>
    <w:p>
      <w:pPr>
        <w:ind w:firstLine="560"/>
        <w:spacing w:line="460" w:lineRule="exact"/>
        <w:rPr>
          <w:rFonts w:hint="eastAsia" w:ascii="宋体" w:hAnsi="宋体" w:cs="宋体"/>
          <w:color w:val="auto"/>
          <w:sz w:val="28"/>
          <w:szCs w:val="28"/>
          <w:highlight w:val="none"/>
          <w:lang w:val="en-US" w:eastAsia="zh-CN"/>
        </w:rPr>
      </w:pPr>
      <w:r/>
      <w:bookmarkStart w:id="9" w:name="_Toc28359080"/>
      <w:r/>
      <w:bookmarkStart w:id="10" w:name="_Toc35393622"/>
      <w:r/>
      <w:bookmarkStart w:id="11" w:name="_Toc28359003"/>
      <w:r/>
      <w:bookmarkStart w:id="12" w:name="_Toc35393791"/>
      <w:r>
        <w:rPr>
          <w:rFonts w:hint="eastAsia" w:ascii="宋体" w:hAnsi="宋体" w:cs="宋体"/>
          <w:color w:val="auto"/>
          <w:sz w:val="28"/>
          <w:szCs w:val="28"/>
          <w:highlight w:val="none"/>
          <w:lang w:val="en-US" w:eastAsia="zh-CN"/>
        </w:rPr>
        <w:t xml:space="preserve">4.预算金额：人民币467.8560万元/年</w:t>
      </w:r>
      <w:r/>
    </w:p>
    <w:p>
      <w:pPr>
        <w:ind w:firstLine="560"/>
        <w:spacing w:line="46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5.最高限价：人民币467.8560万元/年</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6.资金来源：</w:t>
      </w:r>
      <w:r>
        <w:rPr>
          <w:rFonts w:hint="eastAsia" w:ascii="宋体" w:hAnsi="宋体" w:cs="宋体"/>
          <w:color w:val="auto"/>
          <w:sz w:val="28"/>
          <w:szCs w:val="28"/>
          <w:highlight w:val="none"/>
          <w:lang w:val="en-US" w:eastAsia="zh-CN"/>
        </w:rPr>
        <w:t xml:space="preserve">财政资金</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7.采购需求：为泰兴市人民医院长征路及润泰医院配备保安员</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实施全天候安全保卫工作</w:t>
      </w:r>
      <w:r>
        <w:rPr>
          <w:rFonts w:hint="eastAsia" w:ascii="宋体" w:hAnsi="宋体" w:eastAsia="宋体" w:cs="宋体"/>
          <w:color w:val="auto"/>
          <w:sz w:val="28"/>
          <w:szCs w:val="28"/>
          <w:highlight w:val="none"/>
        </w:rPr>
        <w:t xml:space="preserve">；（详见招标文件技术标准和要求）</w:t>
      </w:r>
      <w:r/>
    </w:p>
    <w:p>
      <w:pPr>
        <w:ind w:firstLine="560"/>
        <w:spacing w:line="460" w:lineRule="exact"/>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lang w:eastAsia="zh-CN"/>
        </w:rPr>
        <w:t xml:space="preserve">期限：</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val="en-US" w:eastAsia="zh-CN"/>
        </w:rPr>
        <w:t xml:space="preserve">年。（合同一年一签，</w:t>
      </w:r>
      <w:r>
        <w:rPr>
          <w:rFonts w:hint="eastAsia" w:ascii="宋体" w:hAnsi="宋体" w:eastAsia="宋体" w:cs="宋体"/>
          <w:color w:val="auto"/>
          <w:sz w:val="28"/>
          <w:szCs w:val="28"/>
          <w:highlight w:val="none"/>
          <w:lang w:eastAsia="zh-CN"/>
        </w:rPr>
        <w:t xml:space="preserve">年度考核合格</w:t>
      </w:r>
      <w:r>
        <w:rPr>
          <w:rFonts w:hint="eastAsia" w:ascii="宋体" w:hAnsi="宋体" w:eastAsia="宋体" w:cs="宋体"/>
          <w:color w:val="auto"/>
          <w:sz w:val="28"/>
          <w:szCs w:val="28"/>
          <w:highlight w:val="none"/>
          <w:lang w:val="en-US" w:eastAsia="zh-CN"/>
        </w:rPr>
        <w:t xml:space="preserve">且甲乙双方协商一致的情况下可以续签下一年合同，连续服务期限不得超过三年</w:t>
      </w:r>
      <w:r>
        <w:rPr>
          <w:rFonts w:hint="eastAsia" w:ascii="宋体" w:hAnsi="宋体" w:eastAsia="宋体" w:cs="宋体"/>
          <w:color w:val="auto"/>
          <w:sz w:val="28"/>
          <w:szCs w:val="28"/>
          <w:highlight w:val="none"/>
          <w:lang w:val="zh-CN" w:eastAsia="zh-CN"/>
        </w:rPr>
        <w:t xml:space="preserve">。）</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.本项目</w:t>
      </w:r>
      <w:r>
        <w:rPr>
          <w:rFonts w:hint="eastAsia" w:ascii="宋体" w:hAnsi="宋体" w:eastAsia="宋体" w:cs="宋体"/>
          <w:color w:val="auto"/>
          <w:sz w:val="28"/>
          <w:szCs w:val="28"/>
          <w:highlight w:val="none"/>
          <w:lang w:val="en-US" w:eastAsia="zh-CN"/>
        </w:rPr>
        <w:t xml:space="preserve">不允许</w:t>
      </w:r>
      <w:r>
        <w:rPr>
          <w:rFonts w:hint="eastAsia" w:ascii="宋体" w:hAnsi="宋体" w:eastAsia="宋体" w:cs="宋体"/>
          <w:color w:val="auto"/>
          <w:sz w:val="28"/>
          <w:szCs w:val="28"/>
          <w:highlight w:val="none"/>
        </w:rPr>
        <w:t xml:space="preserve">联合体投标。</w:t>
      </w:r>
      <w:r/>
    </w:p>
    <w:p>
      <w:pPr>
        <w:ind w:firstLine="562"/>
        <w:spacing w:line="460" w:lineRule="exact"/>
        <w:rPr>
          <w:rFonts w:hint="eastAsia" w:ascii="宋体" w:hAnsi="宋体" w:eastAsia="宋体" w:cs="宋体"/>
          <w:b/>
          <w:color w:val="auto"/>
          <w:sz w:val="28"/>
          <w:szCs w:val="28"/>
          <w:highlight w:val="none"/>
        </w:rPr>
        <w:outlineLvl w:val="1"/>
      </w:pPr>
      <w:r/>
      <w:bookmarkStart w:id="13" w:name="_Toc789"/>
      <w:r>
        <w:rPr>
          <w:rFonts w:hint="eastAsia" w:ascii="宋体" w:hAnsi="宋体" w:eastAsia="宋体" w:cs="宋体"/>
          <w:b/>
          <w:color w:val="auto"/>
          <w:sz w:val="28"/>
          <w:szCs w:val="28"/>
          <w:highlight w:val="none"/>
        </w:rPr>
        <w:t xml:space="preserve">二、申请人的资格要求：</w:t>
      </w:r>
      <w:bookmarkEnd w:id="9"/>
      <w:r/>
      <w:bookmarkEnd w:id="10"/>
      <w:r/>
      <w:bookmarkEnd w:id="11"/>
      <w:r/>
      <w:bookmarkEnd w:id="12"/>
      <w:r/>
      <w:bookmarkEnd w:id="13"/>
      <w:r/>
      <w:r/>
    </w:p>
    <w:p>
      <w:pPr>
        <w:ind w:firstLine="560"/>
        <w:spacing w:line="460" w:lineRule="exact"/>
        <w:rPr>
          <w:rFonts w:hint="eastAsia" w:ascii="宋体" w:hAnsi="宋体" w:eastAsia="宋体" w:cs="宋体"/>
          <w:color w:val="auto"/>
          <w:sz w:val="28"/>
          <w:szCs w:val="28"/>
          <w:highlight w:val="none"/>
          <w:lang w:eastAsia="zh-CN"/>
        </w:rPr>
      </w:pPr>
      <w:r/>
      <w:bookmarkStart w:id="14" w:name="_Toc28359085"/>
      <w:r/>
      <w:bookmarkStart w:id="15" w:name="_Toc35393796"/>
      <w:r/>
      <w:bookmarkStart w:id="16" w:name="_Toc28359008"/>
      <w:r/>
      <w:bookmarkStart w:id="17" w:name="_Toc35393627"/>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满足《中华人民共和国政府采购法》第二十二条规定：</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基本资格条件的承诺（根据供应商提供的承诺函，内容完整且</w:t>
      </w:r>
      <w:r>
        <w:rPr>
          <w:rFonts w:hint="eastAsia" w:ascii="宋体" w:hAnsi="宋体" w:cs="宋体"/>
          <w:color w:val="auto"/>
          <w:sz w:val="28"/>
          <w:szCs w:val="28"/>
          <w:highlight w:val="none"/>
          <w:lang w:val="en-US" w:eastAsia="zh-CN"/>
        </w:rPr>
        <w:t xml:space="preserve">签章完备</w:t>
      </w:r>
      <w:r>
        <w:rPr>
          <w:rFonts w:hint="eastAsia" w:ascii="宋体" w:hAnsi="宋体" w:eastAsia="宋体" w:cs="宋体"/>
          <w:color w:val="auto"/>
          <w:sz w:val="28"/>
          <w:szCs w:val="28"/>
          <w:highlight w:val="none"/>
          <w:lang w:eastAsia="zh-CN"/>
        </w:rPr>
        <w:t xml:space="preserve">）。</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落实政府采购政策需满足的资格要求：本项目为</w:t>
      </w:r>
      <w:r>
        <w:rPr>
          <w:rFonts w:hint="eastAsia" w:ascii="宋体" w:hAnsi="宋体" w:eastAsia="宋体" w:cs="宋体"/>
          <w:color w:val="auto"/>
          <w:sz w:val="28"/>
          <w:szCs w:val="28"/>
          <w:highlight w:val="none"/>
          <w:lang w:val="en-US" w:eastAsia="zh-CN"/>
        </w:rPr>
        <w:t xml:space="preserve">非</w:t>
      </w:r>
      <w:r>
        <w:rPr>
          <w:rFonts w:hint="eastAsia" w:ascii="宋体" w:hAnsi="宋体" w:eastAsia="宋体" w:cs="宋体"/>
          <w:color w:val="auto"/>
          <w:sz w:val="28"/>
          <w:szCs w:val="28"/>
          <w:highlight w:val="none"/>
          <w:lang w:eastAsia="zh-CN"/>
        </w:rPr>
        <w:t xml:space="preserve">专门面向中小企业的项目。</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本项目的特定资格要求：投标人须具有公安部门核发的《保安服务许可证》；泰州市以外的保安服务企业须在泰州市保安主管部门备案或者提供承诺书，承诺中标后进场前在泰州市保安主管部门备案完成（提供保安服务许可证、备案证明材料或承诺书）。</w:t>
      </w:r>
      <w:r/>
    </w:p>
    <w:p>
      <w:pPr>
        <w:ind w:firstLine="562"/>
        <w:spacing w:line="460" w:lineRule="exact"/>
        <w:rPr>
          <w:rFonts w:hint="eastAsia" w:ascii="宋体" w:hAnsi="宋体" w:eastAsia="宋体" w:cs="宋体"/>
          <w:b/>
          <w:color w:val="auto"/>
          <w:sz w:val="28"/>
          <w:szCs w:val="28"/>
          <w:highlight w:val="none"/>
        </w:rPr>
        <w:outlineLvl w:val="1"/>
      </w:pPr>
      <w:r/>
      <w:bookmarkStart w:id="18" w:name="_Toc5368"/>
      <w:r>
        <w:rPr>
          <w:rFonts w:hint="eastAsia" w:ascii="宋体" w:hAnsi="宋体" w:eastAsia="宋体" w:cs="宋体"/>
          <w:b/>
          <w:color w:val="auto"/>
          <w:sz w:val="28"/>
          <w:szCs w:val="28"/>
          <w:highlight w:val="none"/>
        </w:rPr>
        <w:t xml:space="preserve">三、获取招标文件</w:t>
      </w:r>
      <w:bookmarkEnd w:id="18"/>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1.获取时间：</w:t>
      </w:r>
      <w:r>
        <w:rPr>
          <w:rFonts w:hint="eastAsia" w:ascii="宋体" w:hAnsi="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28</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时起，到</w:t>
      </w:r>
      <w:r>
        <w:rPr>
          <w:rFonts w:hint="eastAsia" w:ascii="宋体" w:hAnsi="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lang w:val="en-US" w:eastAsia="zh-CN"/>
        </w:rPr>
        <w:t xml:space="preserve">时</w:t>
      </w:r>
      <w:r>
        <w:rPr>
          <w:rFonts w:hint="eastAsia" w:ascii="宋体" w:hAnsi="宋体" w:eastAsia="宋体" w:cs="宋体"/>
          <w:color w:val="auto"/>
          <w:sz w:val="28"/>
          <w:szCs w:val="28"/>
          <w:highlight w:val="none"/>
        </w:rPr>
        <w:t xml:space="preserve">止；</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2.获取方式：</w:t>
      </w:r>
      <w:r>
        <w:rPr>
          <w:rFonts w:hint="eastAsia" w:ascii="宋体" w:hAnsi="宋体" w:eastAsia="宋体" w:cs="宋体"/>
          <w:b/>
          <w:color w:val="auto"/>
          <w:sz w:val="28"/>
          <w:szCs w:val="28"/>
          <w:highlight w:val="none"/>
          <w:lang w:eastAsia="zh-CN"/>
        </w:rPr>
        <w:t xml:space="preserve">供应商</w:t>
      </w:r>
      <w:r>
        <w:rPr>
          <w:rFonts w:hint="eastAsia" w:ascii="宋体" w:hAnsi="宋体" w:eastAsia="宋体" w:cs="宋体"/>
          <w:b/>
          <w:color w:val="auto"/>
          <w:sz w:val="28"/>
          <w:szCs w:val="28"/>
          <w:highlight w:val="none"/>
        </w:rPr>
        <w:t xml:space="preserve">完成注册并办理CA证书后，登录江苏省政府采购管理交易系统（苏采云）（</w:t>
      </w:r>
      <w:r>
        <w:rPr>
          <w:rFonts w:hint="eastAsia" w:ascii="宋体" w:hAnsi="宋体" w:cs="宋体"/>
          <w:b/>
          <w:color w:val="auto"/>
          <w:sz w:val="28"/>
          <w:szCs w:val="28"/>
          <w:highlight w:val="none"/>
          <w:lang w:eastAsia="zh-CN"/>
        </w:rPr>
        <w:t xml:space="preserve">www.ccgp-jiangsu.gov.cn</w:t>
      </w:r>
      <w:r>
        <w:rPr>
          <w:rFonts w:hint="eastAsia" w:ascii="宋体" w:hAnsi="宋体" w:eastAsia="宋体" w:cs="宋体"/>
          <w:b/>
          <w:color w:val="auto"/>
          <w:sz w:val="28"/>
          <w:szCs w:val="28"/>
          <w:highlight w:val="none"/>
        </w:rPr>
        <w:t xml:space="preserve">）获取本项目的招标文件及有关资料。</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3.售价：免费。</w:t>
      </w:r>
      <w:r/>
    </w:p>
    <w:p>
      <w:pPr>
        <w:ind w:firstLine="562"/>
        <w:spacing w:line="460" w:lineRule="exact"/>
        <w:rPr>
          <w:rFonts w:hint="eastAsia" w:ascii="宋体" w:hAnsi="宋体" w:eastAsia="宋体" w:cs="宋体"/>
          <w:b/>
          <w:color w:val="auto"/>
          <w:sz w:val="28"/>
          <w:szCs w:val="28"/>
          <w:highlight w:val="none"/>
        </w:rPr>
        <w:outlineLvl w:val="1"/>
      </w:pPr>
      <w:r/>
      <w:bookmarkStart w:id="19" w:name="_Toc28359082"/>
      <w:r/>
      <w:bookmarkStart w:id="20" w:name="_Toc28359005"/>
      <w:r/>
      <w:bookmarkStart w:id="21" w:name="_Toc35393793"/>
      <w:r/>
      <w:bookmarkStart w:id="22" w:name="_Toc35393624"/>
      <w:r/>
      <w:bookmarkStart w:id="23" w:name="_Toc10449"/>
      <w:r>
        <w:rPr>
          <w:rFonts w:hint="eastAsia" w:ascii="宋体" w:hAnsi="宋体" w:eastAsia="宋体" w:cs="宋体"/>
          <w:b/>
          <w:color w:val="auto"/>
          <w:sz w:val="28"/>
          <w:szCs w:val="28"/>
          <w:highlight w:val="none"/>
        </w:rPr>
        <w:t xml:space="preserve">四、提交投标文件</w:t>
      </w:r>
      <w:bookmarkEnd w:id="19"/>
      <w:r/>
      <w:bookmarkEnd w:id="20"/>
      <w:r>
        <w:rPr>
          <w:rFonts w:hint="eastAsia" w:ascii="宋体" w:hAnsi="宋体" w:eastAsia="宋体" w:cs="宋体"/>
          <w:b/>
          <w:color w:val="auto"/>
          <w:sz w:val="28"/>
          <w:szCs w:val="28"/>
          <w:highlight w:val="none"/>
        </w:rPr>
        <w:t xml:space="preserve">截止时间、开标时间和地点</w:t>
      </w:r>
      <w:bookmarkEnd w:id="21"/>
      <w:r/>
      <w:bookmarkEnd w:id="22"/>
      <w:r/>
      <w:bookmarkEnd w:id="23"/>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1.提交投标文件截止时间：</w:t>
      </w:r>
      <w:r>
        <w:rPr>
          <w:rFonts w:hint="eastAsia" w:ascii="宋体" w:hAnsi="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分止（北京时间）；</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2.开标时间：同投标文件递交截止时间；</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3.开标地点：“苏采云”系统“开标大厅”。</w:t>
      </w:r>
      <w:r/>
    </w:p>
    <w:p>
      <w:pPr>
        <w:ind w:firstLine="562"/>
        <w:spacing w:line="460" w:lineRule="exact"/>
        <w:rPr>
          <w:rFonts w:hint="eastAsia" w:ascii="宋体" w:hAnsi="宋体" w:eastAsia="宋体" w:cs="宋体"/>
          <w:b/>
          <w:color w:val="auto"/>
          <w:sz w:val="28"/>
          <w:szCs w:val="28"/>
          <w:highlight w:val="none"/>
        </w:rPr>
        <w:outlineLvl w:val="1"/>
      </w:pPr>
      <w:r/>
      <w:bookmarkStart w:id="24" w:name="_Toc35393625"/>
      <w:r/>
      <w:bookmarkStart w:id="25" w:name="_Toc28359007"/>
      <w:r/>
      <w:bookmarkStart w:id="26" w:name="_Toc28359084"/>
      <w:r/>
      <w:bookmarkStart w:id="27" w:name="_Toc11694"/>
      <w:r/>
      <w:bookmarkStart w:id="28" w:name="_Toc35393794"/>
      <w:r>
        <w:rPr>
          <w:rFonts w:hint="eastAsia" w:ascii="宋体" w:hAnsi="宋体" w:eastAsia="宋体" w:cs="宋体"/>
          <w:b/>
          <w:color w:val="auto"/>
          <w:sz w:val="28"/>
          <w:szCs w:val="28"/>
          <w:highlight w:val="none"/>
        </w:rPr>
        <w:t xml:space="preserve">五、公告期限</w:t>
      </w:r>
      <w:bookmarkEnd w:id="24"/>
      <w:r/>
      <w:bookmarkEnd w:id="25"/>
      <w:r/>
      <w:bookmarkEnd w:id="26"/>
      <w:r/>
      <w:bookmarkEnd w:id="27"/>
      <w:r/>
      <w:bookmarkEnd w:id="28"/>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2"/>
        <w:spacing w:line="460" w:lineRule="exact"/>
        <w:rPr>
          <w:rFonts w:hint="eastAsia" w:ascii="宋体" w:hAnsi="宋体" w:eastAsia="宋体" w:cs="宋体"/>
          <w:color w:val="auto"/>
          <w:sz w:val="28"/>
          <w:szCs w:val="28"/>
          <w:highlight w:val="none"/>
        </w:rPr>
        <w:outlineLvl w:val="1"/>
      </w:pPr>
      <w:r/>
      <w:bookmarkStart w:id="29" w:name="_Toc18188"/>
      <w:r/>
      <w:bookmarkStart w:id="30" w:name="_Toc35393626"/>
      <w:r/>
      <w:bookmarkStart w:id="31" w:name="_Toc35393795"/>
      <w:r>
        <w:rPr>
          <w:rFonts w:hint="eastAsia" w:ascii="宋体" w:hAnsi="宋体" w:eastAsia="宋体" w:cs="宋体"/>
          <w:b/>
          <w:color w:val="auto"/>
          <w:sz w:val="28"/>
          <w:szCs w:val="28"/>
          <w:highlight w:val="none"/>
        </w:rPr>
        <w:t xml:space="preserve">六、其他补充事宜</w:t>
      </w:r>
      <w:bookmarkEnd w:id="29"/>
      <w:r/>
      <w:bookmarkEnd w:id="30"/>
      <w:r/>
      <w:bookmarkEnd w:id="31"/>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.公告发布媒介：江苏政府采购网（www.ccgp-jiangsu.gov.cn）</w:t>
      </w:r>
      <w:r/>
    </w:p>
    <w:p>
      <w:pPr>
        <w:ind w:firstLine="562"/>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 注意事项：</w:t>
      </w:r>
      <w:r/>
    </w:p>
    <w:p>
      <w:pPr>
        <w:ind w:firstLine="562"/>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（1）潜在</w:t>
      </w:r>
      <w:r>
        <w:rPr>
          <w:rFonts w:hint="eastAsia" w:ascii="宋体" w:hAnsi="宋体" w:eastAsia="宋体" w:cs="宋体"/>
          <w:b/>
          <w:color w:val="auto"/>
          <w:sz w:val="28"/>
          <w:szCs w:val="28"/>
          <w:highlight w:val="none"/>
          <w:lang w:eastAsia="zh-CN"/>
        </w:rPr>
        <w:t xml:space="preserve">供应商</w:t>
      </w:r>
      <w:r>
        <w:rPr>
          <w:rFonts w:hint="eastAsia" w:ascii="宋体" w:hAnsi="宋体" w:eastAsia="宋体" w:cs="宋体"/>
          <w:b/>
          <w:color w:val="auto"/>
          <w:sz w:val="28"/>
          <w:szCs w:val="28"/>
          <w:highlight w:val="none"/>
        </w:rPr>
        <w:t xml:space="preserve">登录“江苏省政府采购管理交易系统（苏采云）”须持经注册的CA证书。未注册、领取CA和办理电子签章的潜在</w:t>
      </w:r>
      <w:r>
        <w:rPr>
          <w:rFonts w:hint="eastAsia" w:ascii="宋体" w:hAnsi="宋体" w:eastAsia="宋体" w:cs="宋体"/>
          <w:b/>
          <w:color w:val="auto"/>
          <w:sz w:val="28"/>
          <w:szCs w:val="28"/>
          <w:highlight w:val="none"/>
          <w:lang w:eastAsia="zh-CN"/>
        </w:rPr>
        <w:t xml:space="preserve">供应商</w:t>
      </w:r>
      <w:r>
        <w:rPr>
          <w:rFonts w:hint="eastAsia" w:ascii="宋体" w:hAnsi="宋体" w:eastAsia="宋体" w:cs="宋体"/>
          <w:b/>
          <w:color w:val="auto"/>
          <w:sz w:val="28"/>
          <w:szCs w:val="28"/>
          <w:highlight w:val="none"/>
        </w:rPr>
        <w:t xml:space="preserve">，请至泰州市高港区泰州大道188号(中国医药城会展交易中心W3馆西南角)公共资源交易大厅政务CA窗口办理，电话：0523-81568158。</w:t>
      </w:r>
      <w:r/>
    </w:p>
    <w:p>
      <w:pPr>
        <w:ind w:firstLine="562"/>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（2）本项目采用电子化投标，</w:t>
      </w:r>
      <w:r>
        <w:rPr>
          <w:rFonts w:hint="eastAsia" w:ascii="宋体" w:hAnsi="宋体" w:eastAsia="宋体" w:cs="宋体"/>
          <w:b/>
          <w:color w:val="auto"/>
          <w:sz w:val="28"/>
          <w:szCs w:val="28"/>
          <w:highlight w:val="none"/>
          <w:lang w:eastAsia="zh-CN"/>
        </w:rPr>
        <w:t xml:space="preserve">供应商</w:t>
      </w:r>
      <w:r>
        <w:rPr>
          <w:rFonts w:hint="eastAsia" w:ascii="宋体" w:hAnsi="宋体" w:eastAsia="宋体" w:cs="宋体"/>
          <w:b/>
          <w:color w:val="auto"/>
          <w:sz w:val="28"/>
          <w:szCs w:val="28"/>
          <w:highlight w:val="none"/>
        </w:rPr>
        <w:t xml:space="preserve">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（3）有关本次招标的事项若存在变动或修改，敬请及时关注“江苏政府采购网”发布的更正公告。</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如潜在</w:t>
      </w:r>
      <w:r>
        <w:rPr>
          <w:rFonts w:hint="eastAsia" w:ascii="宋体" w:hAnsi="宋体" w:eastAsia="宋体" w:cs="宋体"/>
          <w:b/>
          <w:color w:val="auto"/>
          <w:sz w:val="28"/>
          <w:szCs w:val="28"/>
          <w:highlight w:val="none"/>
          <w:lang w:eastAsia="zh-CN"/>
        </w:rPr>
        <w:t xml:space="preserve">供应商</w:t>
      </w:r>
      <w:r>
        <w:rPr>
          <w:rFonts w:hint="eastAsia" w:ascii="宋体" w:hAnsi="宋体" w:eastAsia="宋体" w:cs="宋体"/>
          <w:b/>
          <w:color w:val="auto"/>
          <w:sz w:val="28"/>
          <w:szCs w:val="28"/>
          <w:highlight w:val="none"/>
        </w:rPr>
        <w:t xml:space="preserve">未按上述要求操作，将自行承担所产生的风险。</w:t>
      </w:r>
      <w:r/>
    </w:p>
    <w:p>
      <w:pPr>
        <w:ind w:firstLine="562"/>
        <w:spacing w:line="460" w:lineRule="exact"/>
        <w:rPr>
          <w:rFonts w:hint="eastAsia" w:ascii="宋体" w:hAnsi="宋体" w:eastAsia="宋体" w:cs="宋体"/>
          <w:color w:val="auto"/>
          <w:sz w:val="28"/>
          <w:szCs w:val="28"/>
          <w:highlight w:val="none"/>
        </w:rPr>
        <w:outlineLvl w:val="1"/>
      </w:pPr>
      <w:r/>
      <w:bookmarkStart w:id="32" w:name="_Toc1919"/>
      <w:r>
        <w:rPr>
          <w:rFonts w:hint="eastAsia" w:ascii="宋体" w:hAnsi="宋体" w:eastAsia="宋体" w:cs="宋体"/>
          <w:b/>
          <w:color w:val="auto"/>
          <w:sz w:val="28"/>
          <w:szCs w:val="28"/>
          <w:highlight w:val="none"/>
        </w:rPr>
        <w:t xml:space="preserve">七、对本次招标提出询问，请按以下方式联系。</w:t>
      </w:r>
      <w:bookmarkEnd w:id="14"/>
      <w:r/>
      <w:bookmarkEnd w:id="15"/>
      <w:r/>
      <w:bookmarkEnd w:id="16"/>
      <w:r/>
      <w:bookmarkEnd w:id="17"/>
      <w:r/>
      <w:bookmarkEnd w:id="32"/>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bookmarkStart w:id="33" w:name="_Toc21296"/>
      <w:r/>
      <w:bookmarkStart w:id="34" w:name="_Toc426469869"/>
      <w:r/>
      <w:bookmarkStart w:id="35" w:name="_Toc16938516"/>
      <w:r/>
      <w:bookmarkStart w:id="36" w:name="_Toc382813885"/>
      <w:r/>
      <w:bookmarkStart w:id="37" w:name="_Toc513029200"/>
      <w:r/>
      <w:bookmarkStart w:id="38" w:name="_Toc382813966"/>
      <w:r/>
      <w:bookmarkStart w:id="39" w:name="_Toc523127445"/>
      <w:r/>
      <w:bookmarkStart w:id="40" w:name="_Toc382812472"/>
      <w:r/>
      <w:bookmarkStart w:id="41" w:name="_Toc20823272"/>
      <w:r/>
      <w:bookmarkStart w:id="42" w:name="_Toc479757206"/>
      <w:r>
        <w:rPr>
          <w:rFonts w:hint="eastAsia" w:ascii="宋体" w:hAnsi="宋体" w:eastAsia="宋体" w:cs="宋体"/>
          <w:color w:val="auto"/>
          <w:sz w:val="28"/>
          <w:szCs w:val="28"/>
          <w:highlight w:val="none"/>
        </w:rPr>
        <w:t xml:space="preserve">1.采购人信息</w:t>
      </w:r>
      <w:bookmarkEnd w:id="33"/>
      <w:r/>
      <w:r/>
    </w:p>
    <w:p>
      <w:pPr>
        <w:ind w:firstLine="560"/>
        <w:jc w:val="both"/>
        <w:keepLines w:val="0"/>
        <w:keepNext w:val="0"/>
        <w:pageBreakBefore w:val="0"/>
        <w:spacing w:line="480" w:lineRule="exact"/>
        <w:widowControl/>
        <w:rPr>
          <w:rFonts w:hint="default" w:ascii="宋体" w:hAnsi="宋体" w:eastAsia="宋体" w:cs="宋体"/>
          <w:color w:val="auto"/>
          <w:sz w:val="28"/>
          <w:szCs w:val="28"/>
          <w:highlight w:val="none"/>
          <w:lang w:val="en-US" w:eastAsia="zh-CN"/>
        </w:rPr>
        <w:outlineLvl w:val="1"/>
      </w:pPr>
      <w:r/>
      <w:bookmarkStart w:id="43" w:name="_Toc28914"/>
      <w:r>
        <w:rPr>
          <w:rFonts w:hint="eastAsia" w:ascii="宋体" w:hAnsi="宋体" w:eastAsia="宋体" w:cs="宋体"/>
          <w:color w:val="auto"/>
          <w:sz w:val="28"/>
          <w:szCs w:val="28"/>
          <w:highlight w:val="none"/>
        </w:rPr>
        <w:t xml:space="preserve">名称：泰兴市</w:t>
      </w:r>
      <w:r>
        <w:rPr>
          <w:rFonts w:hint="eastAsia" w:ascii="宋体" w:hAnsi="宋体" w:cs="宋体"/>
          <w:color w:val="auto"/>
          <w:sz w:val="28"/>
          <w:szCs w:val="28"/>
          <w:highlight w:val="none"/>
          <w:lang w:val="en-US" w:eastAsia="zh-CN"/>
        </w:rPr>
        <w:t xml:space="preserve">人民医院</w:t>
      </w:r>
      <w:bookmarkEnd w:id="43"/>
      <w:r/>
      <w:r/>
    </w:p>
    <w:p>
      <w:pPr>
        <w:ind w:firstLine="560"/>
        <w:jc w:val="both"/>
        <w:keepLines w:val="0"/>
        <w:keepNext w:val="0"/>
        <w:pageBreakBefore w:val="0"/>
        <w:spacing w:line="480" w:lineRule="exact"/>
        <w:widowControl/>
        <w:rPr>
          <w:rFonts w:hint="default" w:ascii="宋体" w:hAnsi="宋体" w:eastAsia="宋体" w:cs="宋体"/>
          <w:color w:val="auto"/>
          <w:sz w:val="28"/>
          <w:szCs w:val="28"/>
          <w:highlight w:val="none"/>
          <w:lang w:val="en-US" w:eastAsia="zh-CN"/>
        </w:rPr>
        <w:outlineLvl w:val="1"/>
      </w:pPr>
      <w:r/>
      <w:bookmarkStart w:id="44" w:name="_Toc23902"/>
      <w:r>
        <w:rPr>
          <w:rFonts w:hint="eastAsia" w:ascii="宋体" w:hAnsi="宋体" w:eastAsia="宋体" w:cs="宋体"/>
          <w:color w:val="auto"/>
          <w:sz w:val="28"/>
          <w:szCs w:val="28"/>
          <w:highlight w:val="none"/>
        </w:rPr>
        <w:t xml:space="preserve">地址：</w:t>
      </w:r>
      <w:r>
        <w:rPr>
          <w:rFonts w:hint="eastAsia" w:ascii="宋体" w:hAnsi="宋体" w:cs="宋体"/>
          <w:color w:val="auto"/>
          <w:sz w:val="28"/>
          <w:szCs w:val="28"/>
          <w:highlight w:val="none"/>
          <w:lang w:val="en-US" w:eastAsia="zh-CN"/>
        </w:rPr>
        <w:t xml:space="preserve">江苏省泰州市泰兴市长征路1号</w:t>
      </w:r>
      <w:bookmarkEnd w:id="44"/>
      <w:r/>
      <w:r/>
    </w:p>
    <w:p>
      <w:pPr>
        <w:ind w:firstLine="560"/>
        <w:jc w:val="both"/>
        <w:keepLines w:val="0"/>
        <w:keepNext w:val="0"/>
        <w:pageBreakBefore w:val="0"/>
        <w:spacing w:line="480" w:lineRule="exact"/>
        <w:widowControl/>
        <w:rPr>
          <w:rFonts w:hint="default" w:ascii="宋体" w:hAnsi="宋体" w:eastAsia="宋体" w:cs="宋体"/>
          <w:color w:val="auto"/>
          <w:sz w:val="28"/>
          <w:szCs w:val="28"/>
          <w:highlight w:val="none"/>
          <w:lang w:val="en-US" w:eastAsia="zh-CN"/>
        </w:rPr>
        <w:outlineLvl w:val="1"/>
      </w:pPr>
      <w:r/>
      <w:bookmarkStart w:id="45" w:name="_Toc11888"/>
      <w:r>
        <w:rPr>
          <w:rFonts w:hint="eastAsia" w:ascii="宋体" w:hAnsi="宋体" w:eastAsia="宋体" w:cs="宋体"/>
          <w:color w:val="auto"/>
          <w:sz w:val="28"/>
          <w:szCs w:val="28"/>
          <w:highlight w:val="none"/>
        </w:rPr>
        <w:t xml:space="preserve">联系方式：</w:t>
      </w:r>
      <w:bookmarkEnd w:id="45"/>
      <w:r>
        <w:rPr>
          <w:rFonts w:hint="eastAsia" w:ascii="宋体" w:hAnsi="宋体" w:cs="宋体"/>
          <w:color w:val="auto"/>
          <w:sz w:val="28"/>
          <w:szCs w:val="28"/>
          <w:highlight w:val="none"/>
          <w:lang w:val="en-US" w:eastAsia="zh-CN"/>
        </w:rPr>
        <w:t xml:space="preserve">0523-87919796</w:t>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bookmarkStart w:id="46" w:name="_Toc488"/>
      <w:r>
        <w:rPr>
          <w:rFonts w:hint="eastAsia" w:ascii="宋体" w:hAnsi="宋体" w:eastAsia="宋体" w:cs="宋体"/>
          <w:color w:val="auto"/>
          <w:sz w:val="28"/>
          <w:szCs w:val="28"/>
          <w:highlight w:val="none"/>
        </w:rPr>
        <w:t xml:space="preserve">2.采购代理机构信息</w:t>
      </w:r>
      <w:bookmarkEnd w:id="46"/>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bookmarkStart w:id="47" w:name="_Toc22124"/>
      <w:r>
        <w:rPr>
          <w:rFonts w:hint="eastAsia" w:ascii="宋体" w:hAnsi="宋体" w:eastAsia="宋体" w:cs="宋体"/>
          <w:color w:val="auto"/>
          <w:sz w:val="28"/>
          <w:szCs w:val="28"/>
          <w:highlight w:val="none"/>
        </w:rPr>
        <w:t xml:space="preserve">名 称：江苏国兴建设项目管理有限公司</w:t>
      </w:r>
      <w:bookmarkEnd w:id="47"/>
      <w:r/>
      <w:r/>
    </w:p>
    <w:p>
      <w:pPr>
        <w:ind w:firstLine="560"/>
        <w:jc w:val="both"/>
        <w:keepLines w:val="0"/>
        <w:keepNext w:val="0"/>
        <w:pageBreakBefore w:val="0"/>
        <w:spacing w:line="480" w:lineRule="exact"/>
        <w:widowControl/>
        <w:rPr>
          <w:rFonts w:hint="default" w:ascii="宋体" w:hAnsi="宋体" w:eastAsia="宋体" w:cs="宋体"/>
          <w:color w:val="auto"/>
          <w:sz w:val="28"/>
          <w:szCs w:val="28"/>
          <w:highlight w:val="none"/>
          <w:lang w:val="en-US" w:eastAsia="zh-CN"/>
        </w:rPr>
        <w:outlineLvl w:val="1"/>
      </w:pPr>
      <w:r/>
      <w:bookmarkStart w:id="48" w:name="_Toc17226"/>
      <w:r>
        <w:rPr>
          <w:rFonts w:hint="eastAsia" w:ascii="宋体" w:hAnsi="宋体" w:eastAsia="宋体" w:cs="宋体"/>
          <w:color w:val="auto"/>
          <w:sz w:val="28"/>
          <w:szCs w:val="28"/>
          <w:highlight w:val="none"/>
        </w:rPr>
        <w:t xml:space="preserve">地　址：</w:t>
      </w:r>
      <w:r>
        <w:rPr>
          <w:rFonts w:hint="eastAsia" w:ascii="宋体" w:hAnsi="宋体" w:cs="宋体"/>
          <w:color w:val="auto"/>
          <w:sz w:val="28"/>
          <w:szCs w:val="28"/>
          <w:highlight w:val="none"/>
          <w:lang w:val="en-US" w:eastAsia="zh-CN"/>
        </w:rPr>
        <w:t xml:space="preserve">泰兴高新技术产业开发区国庆路东延北侧9号</w:t>
      </w:r>
      <w:bookmarkEnd w:id="48"/>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bookmarkStart w:id="49" w:name="_Toc30684"/>
      <w:r>
        <w:rPr>
          <w:rFonts w:hint="eastAsia" w:ascii="宋体" w:hAnsi="宋体" w:eastAsia="宋体" w:cs="宋体"/>
          <w:color w:val="auto"/>
          <w:sz w:val="28"/>
          <w:szCs w:val="28"/>
          <w:highlight w:val="none"/>
        </w:rPr>
        <w:t xml:space="preserve">联系方式：17701421886</w:t>
      </w:r>
      <w:bookmarkEnd w:id="49"/>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bookmarkStart w:id="50" w:name="_Toc31057"/>
      <w:r>
        <w:rPr>
          <w:rFonts w:hint="eastAsia" w:ascii="宋体" w:hAnsi="宋体" w:eastAsia="宋体" w:cs="宋体"/>
          <w:color w:val="auto"/>
          <w:sz w:val="28"/>
          <w:szCs w:val="28"/>
          <w:highlight w:val="none"/>
        </w:rPr>
        <w:t xml:space="preserve">3.项目联系方式</w:t>
      </w:r>
      <w:bookmarkEnd w:id="50"/>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lang w:eastAsia="zh-CN"/>
        </w:rPr>
        <w:outlineLvl w:val="1"/>
      </w:pPr>
      <w:r/>
      <w:bookmarkStart w:id="51" w:name="_Toc9570"/>
      <w:r>
        <w:rPr>
          <w:rFonts w:hint="eastAsia" w:ascii="宋体" w:hAnsi="宋体" w:eastAsia="宋体" w:cs="宋体"/>
          <w:color w:val="auto"/>
          <w:sz w:val="28"/>
          <w:szCs w:val="28"/>
          <w:highlight w:val="none"/>
        </w:rPr>
        <w:t xml:space="preserve">项目联系人：</w:t>
      </w:r>
      <w:r>
        <w:rPr>
          <w:rFonts w:hint="eastAsia" w:ascii="宋体" w:hAnsi="宋体" w:cs="宋体"/>
          <w:color w:val="auto"/>
          <w:sz w:val="28"/>
          <w:szCs w:val="28"/>
          <w:highlight w:val="none"/>
          <w:lang w:val="en-US" w:eastAsia="zh-CN"/>
        </w:rPr>
        <w:t xml:space="preserve">泰兴市人民医院</w:t>
      </w:r>
      <w:r>
        <w:rPr>
          <w:rFonts w:hint="eastAsia" w:ascii="宋体" w:hAnsi="宋体" w:eastAsia="宋体" w:cs="宋体"/>
          <w:color w:val="auto"/>
          <w:sz w:val="28"/>
          <w:szCs w:val="28"/>
          <w:highlight w:val="none"/>
        </w:rPr>
        <w:t xml:space="preserve">   </w:t>
      </w:r>
      <w:bookmarkEnd w:id="51"/>
      <w:r>
        <w:rPr>
          <w:rFonts w:hint="eastAsia" w:ascii="宋体" w:hAnsi="宋体" w:cs="宋体"/>
          <w:color w:val="auto"/>
          <w:sz w:val="28"/>
          <w:szCs w:val="28"/>
          <w:highlight w:val="none"/>
          <w:lang w:eastAsia="zh-CN"/>
        </w:rPr>
        <w:t xml:space="preserve">刘先生</w:t>
      </w:r>
      <w:r/>
    </w:p>
    <w:p>
      <w:pPr>
        <w:ind w:firstLine="560"/>
        <w:jc w:val="both"/>
        <w:keepLines w:val="0"/>
        <w:keepNext w:val="0"/>
        <w:pageBreakBefore w:val="0"/>
        <w:spacing w:line="480" w:lineRule="exact"/>
        <w:widowControl/>
        <w:rPr>
          <w:rFonts w:hint="default" w:ascii="宋体" w:hAnsi="宋体" w:eastAsia="宋体" w:cs="宋体"/>
          <w:color w:val="auto"/>
          <w:sz w:val="28"/>
          <w:szCs w:val="28"/>
          <w:highlight w:val="none"/>
          <w:lang w:val="en-US" w:eastAsia="zh-CN"/>
        </w:rPr>
        <w:outlineLvl w:val="1"/>
      </w:pPr>
      <w:r/>
      <w:bookmarkStart w:id="52" w:name="_Toc9743"/>
      <w:r>
        <w:rPr>
          <w:rFonts w:hint="eastAsia" w:ascii="宋体" w:hAnsi="宋体" w:eastAsia="宋体" w:cs="宋体"/>
          <w:color w:val="auto"/>
          <w:sz w:val="28"/>
          <w:szCs w:val="28"/>
          <w:highlight w:val="none"/>
        </w:rPr>
        <w:t xml:space="preserve">电　话：</w:t>
      </w:r>
      <w:bookmarkEnd w:id="52"/>
      <w:r>
        <w:rPr>
          <w:rFonts w:hint="eastAsia" w:ascii="宋体" w:hAnsi="宋体" w:cs="宋体"/>
          <w:color w:val="auto"/>
          <w:sz w:val="28"/>
          <w:szCs w:val="28"/>
          <w:highlight w:val="none"/>
          <w:lang w:val="en-US" w:eastAsia="zh-CN"/>
        </w:rPr>
        <w:t xml:space="preserve">0523-87919796           </w:t>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bookmarkStart w:id="53" w:name="_Toc4822"/>
      <w:r>
        <w:rPr>
          <w:rFonts w:hint="eastAsia" w:ascii="宋体" w:hAnsi="宋体" w:eastAsia="宋体" w:cs="宋体"/>
          <w:color w:val="auto"/>
          <w:sz w:val="28"/>
          <w:szCs w:val="28"/>
          <w:highlight w:val="none"/>
        </w:rPr>
        <w:t xml:space="preserve">项目联系人：江苏国兴建设项目管理有限公司   刘雪芬</w:t>
      </w:r>
      <w:bookmarkEnd w:id="53"/>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bookmarkStart w:id="54" w:name="_Toc18375"/>
      <w:r>
        <w:rPr>
          <w:rFonts w:hint="eastAsia" w:ascii="宋体" w:hAnsi="宋体" w:eastAsia="宋体" w:cs="宋体"/>
          <w:color w:val="auto"/>
          <w:sz w:val="28"/>
          <w:szCs w:val="28"/>
          <w:highlight w:val="none"/>
        </w:rPr>
        <w:t xml:space="preserve">电　话：17701421886</w:t>
      </w:r>
      <w:bookmarkEnd w:id="54"/>
      <w:r/>
      <w:r/>
    </w:p>
    <w:p>
      <w:pPr>
        <w:ind w:firstLine="560"/>
        <w:jc w:val="both"/>
        <w:keepLines w:val="0"/>
        <w:keepNext w:val="0"/>
        <w:pageBreakBefore w:val="0"/>
        <w:spacing w:line="480" w:lineRule="exact"/>
        <w:widowControl/>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widowControl/>
        <w:rPr>
          <w:rFonts w:hint="eastAsia" w:ascii="宋体" w:hAnsi="宋体" w:eastAsia="宋体" w:cs="宋体"/>
          <w:b/>
          <w:color w:val="auto"/>
          <w:sz w:val="32"/>
          <w:szCs w:val="32"/>
          <w:highlight w:val="none"/>
        </w:rPr>
        <w:outlineLvl w:val="0"/>
      </w:pPr>
      <w:r/>
      <w:bookmarkStart w:id="55" w:name="_Toc8211"/>
      <w:r>
        <w:rPr>
          <w:rFonts w:hint="eastAsia" w:ascii="宋体" w:hAnsi="宋体" w:eastAsia="宋体" w:cs="宋体"/>
          <w:b/>
          <w:color w:val="auto"/>
          <w:sz w:val="32"/>
          <w:szCs w:val="32"/>
          <w:highlight w:val="none"/>
        </w:rPr>
        <w:t xml:space="preserve">第二章 供应商须知</w:t>
      </w:r>
      <w:bookmarkEnd w:id="34"/>
      <w:r/>
      <w:bookmarkEnd w:id="55"/>
      <w:r/>
      <w:r/>
    </w:p>
    <w:p>
      <w:pPr>
        <w:rPr>
          <w:rFonts w:hint="eastAsia" w:ascii="宋体" w:hAnsi="宋体" w:eastAsia="宋体" w:cs="宋体"/>
          <w:color w:val="auto"/>
          <w:highlight w:val="none"/>
        </w:rPr>
      </w:pPr>
      <w:r/>
      <w:bookmarkStart w:id="56" w:name="_Toc426469870"/>
      <w:r>
        <w:rPr>
          <w:rFonts w:hint="eastAsia" w:ascii="宋体" w:hAnsi="宋体" w:eastAsia="宋体" w:cs="宋体"/>
          <w:color w:val="auto"/>
          <w:highlight w:val="none"/>
        </w:rPr>
        <w:t xml:space="preserve">供应商须知前附表</w:t>
      </w:r>
      <w:bookmarkEnd w:id="56"/>
      <w:r/>
      <w:r/>
    </w:p>
    <w:tbl>
      <w:tblPr>
        <w:tblStyle w:val="63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381"/>
        <w:gridCol w:w="140"/>
        <w:gridCol w:w="6018"/>
      </w:tblGrid>
      <w:tr>
        <w:trPr>
          <w:jc w:val="center"/>
          <w:trHeight w:val="392"/>
        </w:trPr>
        <w:tc>
          <w:tcPr>
            <w:tcW w:w="1089"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条款号</w:t>
            </w:r>
            <w:r/>
          </w:p>
        </w:tc>
        <w:tc>
          <w:tcPr>
            <w:tcW w:w="2381"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条 款 名 称</w:t>
            </w:r>
            <w:r/>
          </w:p>
        </w:tc>
        <w:tc>
          <w:tcPr>
            <w:gridSpan w:val="2"/>
            <w:tcW w:w="6158"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编  列  内  容</w:t>
            </w:r>
            <w:r/>
          </w:p>
        </w:tc>
      </w:tr>
      <w:tr>
        <w:trPr>
          <w:jc w:val="center"/>
          <w:trHeight w:val="1553"/>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1.1.2</w:t>
            </w:r>
            <w:r/>
          </w:p>
        </w:tc>
        <w:tc>
          <w:tcPr>
            <w:tcW w:w="238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招标人</w:t>
            </w:r>
            <w:r/>
          </w:p>
        </w:tc>
        <w:tc>
          <w:tcPr>
            <w:gridSpan w:val="2"/>
            <w:tcW w:w="6158" w:type="dxa"/>
            <w:vAlign w:val="top"/>
            <w:textDirection w:val="lrTb"/>
            <w:noWrap w:val="false"/>
          </w:tcPr>
          <w:p>
            <w:pPr>
              <w:keepLines w:val="0"/>
              <w:keepNext w:val="0"/>
              <w:pageBreakBefore w:val="0"/>
              <w:spacing w:line="36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名称：</w:t>
            </w:r>
            <w:r>
              <w:rPr>
                <w:rFonts w:hint="eastAsia" w:ascii="宋体" w:hAnsi="宋体" w:cs="宋体"/>
                <w:color w:val="auto"/>
                <w:sz w:val="28"/>
                <w:szCs w:val="28"/>
                <w:highlight w:val="none"/>
                <w:lang w:val="en-US" w:eastAsia="zh-CN"/>
              </w:rPr>
              <w:t xml:space="preserve">泰兴市人民医院</w:t>
            </w:r>
            <w:r>
              <w:rPr>
                <w:rFonts w:hint="eastAsia" w:ascii="宋体" w:hAnsi="宋体" w:cs="宋体"/>
                <w:color w:val="auto"/>
                <w:highlight w:val="none"/>
                <w:lang w:val="en-US" w:eastAsia="zh-CN"/>
              </w:rPr>
              <w:t xml:space="preserve">          </w:t>
            </w:r>
            <w:r/>
          </w:p>
          <w:p>
            <w:pPr>
              <w:keepLines w:val="0"/>
              <w:keepNext w:val="0"/>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cs="宋体"/>
                <w:color w:val="auto"/>
                <w:sz w:val="28"/>
                <w:szCs w:val="28"/>
                <w:highlight w:val="none"/>
                <w:lang w:val="en-US" w:eastAsia="zh-CN"/>
              </w:rPr>
              <w:t xml:space="preserve">江苏省泰州市泰兴市长征路1号</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w:t>
            </w:r>
            <w:r/>
          </w:p>
          <w:p>
            <w:pPr>
              <w:keepLines w:val="0"/>
              <w:keepNext w:val="0"/>
              <w:pageBreakBefore w:val="0"/>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刘先生 </w:t>
            </w:r>
            <w:r/>
          </w:p>
          <w:p>
            <w:pPr>
              <w:jc w:val="both"/>
              <w:keepLines w:val="0"/>
              <w:keepNext w:val="0"/>
              <w:pageBreakBefore w:val="0"/>
              <w:spacing w:line="480" w:lineRule="exact"/>
              <w:widowControl/>
              <w:rPr>
                <w:rFonts w:hint="eastAsia" w:ascii="宋体" w:hAnsi="宋体" w:eastAsia="宋体" w:cs="宋体"/>
                <w:color w:val="auto"/>
                <w:highlight w:val="none"/>
                <w:lang w:eastAsia="zh-CN"/>
              </w:rPr>
              <w:outlineLvl w:val="1"/>
            </w:pPr>
            <w:r>
              <w:rPr>
                <w:rFonts w:hint="eastAsia" w:ascii="宋体" w:hAnsi="宋体" w:eastAsia="宋体" w:cs="宋体"/>
                <w:color w:val="auto"/>
                <w:highlight w:val="none"/>
              </w:rPr>
              <w:t xml:space="preserve">联系电话：</w:t>
            </w:r>
            <w:r>
              <w:rPr>
                <w:rFonts w:hint="eastAsia" w:ascii="宋体" w:hAnsi="宋体" w:cs="宋体"/>
                <w:color w:val="auto"/>
                <w:highlight w:val="none"/>
                <w:lang w:val="en-US" w:eastAsia="zh-CN"/>
              </w:rPr>
              <w:t xml:space="preserve"> </w:t>
            </w:r>
            <w:r>
              <w:rPr>
                <w:rFonts w:hint="eastAsia" w:ascii="宋体" w:hAnsi="宋体" w:cs="宋体"/>
                <w:color w:val="auto"/>
                <w:sz w:val="28"/>
                <w:szCs w:val="28"/>
                <w:highlight w:val="none"/>
                <w:lang w:val="en-US" w:eastAsia="zh-CN"/>
              </w:rPr>
              <w:t xml:space="preserve">0523-87919796</w:t>
            </w:r>
            <w:r/>
          </w:p>
        </w:tc>
      </w:tr>
      <w:tr>
        <w:trPr>
          <w:jc w:val="center"/>
          <w:trHeight w:val="1443"/>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1.1.3</w:t>
            </w:r>
            <w:r/>
          </w:p>
        </w:tc>
        <w:tc>
          <w:tcPr>
            <w:tcW w:w="238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w:t>
            </w:r>
            <w:r/>
          </w:p>
        </w:tc>
        <w:tc>
          <w:tcPr>
            <w:gridSpan w:val="2"/>
            <w:tcW w:w="6158" w:type="dxa"/>
            <w:vAlign w:val="top"/>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江苏国兴建设项目管理有限公司</w:t>
            </w:r>
            <w:r/>
          </w:p>
          <w:p>
            <w:pPr>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地址：泰兴市</w:t>
            </w:r>
            <w:r>
              <w:rPr>
                <w:rFonts w:hint="eastAsia" w:ascii="宋体" w:hAnsi="宋体" w:eastAsia="宋体" w:cs="宋体"/>
                <w:color w:val="auto"/>
                <w:sz w:val="24"/>
                <w:szCs w:val="24"/>
                <w:highlight w:val="none"/>
                <w:lang w:val="en-US" w:eastAsia="zh-CN"/>
              </w:rPr>
              <w:t xml:space="preserve">政务服务中心十</w:t>
            </w:r>
            <w:r>
              <w:rPr>
                <w:rFonts w:hint="eastAsia" w:ascii="宋体" w:hAnsi="宋体" w:eastAsia="宋体" w:cs="宋体"/>
                <w:color w:val="auto"/>
                <w:sz w:val="24"/>
                <w:szCs w:val="24"/>
                <w:highlight w:val="none"/>
                <w:lang w:eastAsia="zh-CN"/>
              </w:rPr>
              <w:t xml:space="preserve">楼</w:t>
            </w:r>
            <w:r>
              <w:rPr>
                <w:rFonts w:hint="eastAsia" w:ascii="宋体" w:hAnsi="宋体" w:eastAsia="宋体" w:cs="宋体"/>
                <w:color w:val="auto"/>
                <w:sz w:val="24"/>
                <w:szCs w:val="24"/>
                <w:highlight w:val="none"/>
                <w:lang w:val="en-US" w:eastAsia="zh-CN"/>
              </w:rPr>
              <w:t xml:space="preserve">1003</w:t>
            </w:r>
            <w:r>
              <w:rPr>
                <w:rFonts w:hint="eastAsia" w:ascii="宋体" w:hAnsi="宋体" w:eastAsia="宋体" w:cs="宋体"/>
                <w:color w:val="auto"/>
                <w:sz w:val="24"/>
                <w:szCs w:val="24"/>
                <w:highlight w:val="none"/>
              </w:rPr>
              <w:t xml:space="preserve">（泰兴市文昌东路62号）</w:t>
            </w:r>
            <w:r/>
          </w:p>
          <w:p>
            <w:pPr>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刘雪芬</w:t>
            </w:r>
            <w:r/>
          </w:p>
          <w:p>
            <w:pPr>
              <w:keepLines w:val="0"/>
              <w:keepNext w:val="0"/>
              <w:pageBreakBefore w:val="0"/>
              <w:spacing w:line="36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17701421886</w:t>
            </w:r>
            <w:r/>
          </w:p>
        </w:tc>
      </w:tr>
      <w:tr>
        <w:trPr>
          <w:jc w:val="center"/>
          <w:trHeight w:val="864"/>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1.1.4</w:t>
            </w:r>
            <w:r/>
          </w:p>
        </w:tc>
        <w:tc>
          <w:tcPr>
            <w:tcW w:w="238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项目名称及</w:t>
            </w:r>
            <w:r/>
          </w:p>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tc>
        <w:tc>
          <w:tcPr>
            <w:gridSpan w:val="2"/>
            <w:tcW w:w="6158" w:type="dxa"/>
            <w:textDirection w:val="lrTb"/>
            <w:noWrap w:val="false"/>
          </w:tcPr>
          <w:p>
            <w:pPr>
              <w:jc w:val="left"/>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 xml:space="preserve">项目名称：</w:t>
            </w:r>
            <w:r>
              <w:rPr>
                <w:rFonts w:hint="eastAsia" w:ascii="宋体" w:hAnsi="宋体" w:cs="宋体"/>
                <w:color w:val="auto"/>
                <w:sz w:val="24"/>
                <w:szCs w:val="24"/>
                <w:highlight w:val="none"/>
                <w:lang w:eastAsia="zh-CN"/>
              </w:rPr>
              <w:t xml:space="preserve">泰兴市人民医院保安服务项目</w:t>
            </w:r>
            <w:r>
              <w:rPr>
                <w:rFonts w:hint="eastAsia" w:ascii="宋体" w:hAnsi="宋体" w:eastAsia="宋体" w:cs="宋体"/>
                <w:color w:val="auto"/>
                <w:sz w:val="24"/>
                <w:szCs w:val="24"/>
                <w:highlight w:val="none"/>
                <w:lang w:val="en-US" w:eastAsia="zh-CN"/>
              </w:rPr>
              <w:t xml:space="preserve"> </w:t>
            </w:r>
            <w:r/>
          </w:p>
          <w:p>
            <w:pPr>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项目编号：JSZC-321283-GXGL-G2026-0025</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"javascript:void(0);"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end"/>
            </w:r>
            <w:r/>
          </w:p>
        </w:tc>
      </w:tr>
      <w:tr>
        <w:trPr>
          <w:jc w:val="center"/>
          <w:trHeight w:val="399"/>
        </w:trPr>
        <w:tc>
          <w:tcPr>
            <w:tcW w:w="1089"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1.2.1</w:t>
            </w:r>
            <w:r/>
          </w:p>
        </w:tc>
        <w:tc>
          <w:tcPr>
            <w:tcW w:w="2381"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付款方式</w:t>
            </w:r>
            <w:r/>
          </w:p>
        </w:tc>
        <w:tc>
          <w:tcPr>
            <w:gridSpan w:val="2"/>
            <w:tcW w:w="6158" w:type="dxa"/>
            <w:vAlign w:val="center"/>
            <w:textDirection w:val="lrTb"/>
            <w:noWrap w:val="false"/>
          </w:tcPr>
          <w:p>
            <w:pPr>
              <w:ind w:firstLine="422"/>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eastAsia="zh-CN"/>
              </w:rPr>
              <w:t xml:space="preserve">中标单位按规定完成各项工作，根据最终考核结果，</w:t>
            </w:r>
            <w:r>
              <w:rPr>
                <w:rFonts w:ascii="宋体" w:hAnsi="宋体" w:eastAsia="宋体" w:cs="宋体"/>
                <w:color w:val="auto"/>
                <w:sz w:val="24"/>
                <w:szCs w:val="24"/>
              </w:rPr>
              <w:t xml:space="preserve">按月结算支付</w:t>
            </w:r>
            <w:r>
              <w:rPr>
                <w:rFonts w:hint="eastAsia" w:ascii="宋体" w:hAnsi="宋体" w:cs="宋体"/>
                <w:color w:val="auto"/>
                <w:sz w:val="24"/>
                <w:szCs w:val="24"/>
                <w:lang w:eastAsia="zh-CN"/>
              </w:rPr>
              <w:t xml:space="preserve">服务费</w:t>
            </w:r>
            <w:r>
              <w:rPr>
                <w:rFonts w:ascii="宋体" w:hAnsi="宋体" w:eastAsia="宋体" w:cs="宋体"/>
                <w:color w:val="auto"/>
                <w:sz w:val="24"/>
                <w:szCs w:val="24"/>
              </w:rPr>
              <w:t xml:space="preserve">。 </w:t>
            </w:r>
            <w:r/>
          </w:p>
        </w:tc>
      </w:tr>
      <w:tr>
        <w:trPr>
          <w:jc w:val="center"/>
          <w:trHeight w:val="467"/>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w:t>
            </w:r>
            <w:r/>
          </w:p>
        </w:tc>
        <w:tc>
          <w:tcPr>
            <w:tcW w:w="238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采购范围</w:t>
            </w:r>
            <w:r/>
          </w:p>
        </w:tc>
        <w:tc>
          <w:tcPr>
            <w:gridSpan w:val="2"/>
            <w:tcW w:w="6158" w:type="dxa"/>
            <w:vAlign w:val="center"/>
            <w:textDirection w:val="lrTb"/>
            <w:noWrap w:val="false"/>
          </w:tcPr>
          <w:p>
            <w:pPr>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见采购需求</w:t>
            </w:r>
            <w:r/>
          </w:p>
        </w:tc>
      </w:tr>
      <w:tr>
        <w:trPr>
          <w:jc w:val="center"/>
          <w:trHeight w:val="402"/>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1.3.2</w:t>
            </w:r>
            <w:r/>
          </w:p>
        </w:tc>
        <w:tc>
          <w:tcPr>
            <w:tcW w:w="2381" w:type="dxa"/>
            <w:vAlign w:val="center"/>
            <w:textDirection w:val="lrTb"/>
            <w:noWrap w:val="false"/>
          </w:tcPr>
          <w:p>
            <w:pPr>
              <w:jc w:val="cente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服务期限</w:t>
            </w:r>
            <w:r/>
          </w:p>
        </w:tc>
        <w:tc>
          <w:tcPr>
            <w:gridSpan w:val="2"/>
            <w:tcW w:w="6158" w:type="dxa"/>
            <w:vAlign w:val="center"/>
            <w:textDirection w:val="lrTb"/>
            <w:noWrap w:val="false"/>
          </w:tcPr>
          <w:p>
            <w:pPr>
              <w:jc w:val="left"/>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见招标公告</w:t>
            </w:r>
            <w:r/>
          </w:p>
        </w:tc>
      </w:tr>
      <w:tr>
        <w:trPr>
          <w:jc w:val="center"/>
          <w:trHeight w:val="778"/>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w:t>
            </w:r>
            <w:r/>
          </w:p>
        </w:tc>
        <w:tc>
          <w:tcPr>
            <w:tcW w:w="238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要求供应商具备的特定条件</w:t>
            </w:r>
            <w:r/>
          </w:p>
        </w:tc>
        <w:tc>
          <w:tcPr>
            <w:gridSpan w:val="2"/>
            <w:tcW w:w="6158" w:type="dxa"/>
            <w:vAlign w:val="center"/>
            <w:textDirection w:val="lrTb"/>
            <w:noWrap w:val="false"/>
          </w:tcPr>
          <w:p>
            <w:pPr>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1.8.2</w:t>
            </w:r>
            <w:r/>
          </w:p>
        </w:tc>
        <w:tc>
          <w:tcPr>
            <w:tcW w:w="2381" w:type="dxa"/>
            <w:vAlign w:val="center"/>
            <w:textDirection w:val="lrTb"/>
            <w:noWrap w:val="false"/>
          </w:tcPr>
          <w:p>
            <w:pPr>
              <w:jc w:val="cente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偏离</w:t>
            </w:r>
            <w:r/>
          </w:p>
        </w:tc>
        <w:tc>
          <w:tcPr>
            <w:gridSpan w:val="2"/>
            <w:tcW w:w="6158" w:type="dxa"/>
            <w:vAlign w:val="center"/>
            <w:textDirection w:val="lrTb"/>
            <w:noWrap w:val="false"/>
          </w:tcPr>
          <w:p>
            <w:pPr>
              <w:pStyle w:val="642"/>
              <w:spacing w:line="320" w:lineRule="exact"/>
              <w:rPr>
                <w:rFonts w:hint="eastAsia" w:ascii="宋体" w:hAnsi="宋体" w:eastAsia="宋体" w:cs="宋体"/>
                <w:color w:val="auto"/>
                <w:highlight w:val="none"/>
              </w:rPr>
            </w:pPr>
            <w:r/>
            <w:bookmarkStart w:id="57" w:name="FEfe800446baa24252acf6b14953dc4897"/>
            <w:r/>
            <w:bookmarkEnd w:id="57"/>
            <w:r/>
            <w:bookmarkStart w:id="58" w:name="FBfe800446baa24252acf6b14953dc4897"/>
            <w:r/>
            <w:bookmarkEnd w:id="58"/>
            <w:r>
              <w:rPr>
                <w:rFonts w:hint="eastAsia" w:ascii="宋体" w:hAnsi="宋体" w:cs="宋体"/>
                <w:color w:val="auto"/>
                <w:highlight w:val="none"/>
                <w:lang w:val="en-US" w:eastAsia="zh-CN"/>
              </w:rPr>
              <w:t xml:space="preserve">不</w:t>
            </w:r>
            <w:r>
              <w:rPr>
                <w:rFonts w:hint="eastAsia" w:ascii="宋体" w:hAnsi="宋体" w:eastAsia="宋体" w:cs="宋体"/>
                <w:color w:val="auto"/>
                <w:highlight w:val="none"/>
              </w:rPr>
              <w:t xml:space="preserve">允许偏离</w:t>
            </w:r>
            <w:r/>
          </w:p>
        </w:tc>
      </w:tr>
      <w:tr>
        <w:trPr>
          <w:jc w:val="center"/>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p>
        </w:tc>
        <w:tc>
          <w:tcPr>
            <w:tcW w:w="2381" w:type="dxa"/>
            <w:vAlign w:val="center"/>
            <w:textDirection w:val="lrTb"/>
            <w:noWrap w:val="false"/>
          </w:tcPr>
          <w:p>
            <w:pPr>
              <w:jc w:val="cente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构成招标文件的其他材料</w:t>
            </w:r>
            <w:r/>
          </w:p>
        </w:tc>
        <w:tc>
          <w:tcPr>
            <w:gridSpan w:val="2"/>
            <w:tcW w:w="6158" w:type="dxa"/>
            <w:vAlign w:val="center"/>
            <w:textDirection w:val="lrTb"/>
            <w:noWrap w:val="false"/>
          </w:tcPr>
          <w:p>
            <w:pPr>
              <w:jc w:val="left"/>
              <w:spacing w:line="360" w:lineRule="exact"/>
              <w:rPr>
                <w:rFonts w:hint="eastAsia" w:ascii="宋体" w:hAnsi="宋体" w:eastAsia="宋体" w:cs="宋体"/>
                <w:color w:val="auto"/>
                <w:highlight w:val="none"/>
              </w:rPr>
            </w:pPr>
            <w:r/>
            <w:bookmarkStart w:id="59" w:name="EB35ced2e8f8364f63a510bf246ff979f0"/>
            <w:r/>
            <w:bookmarkEnd w:id="59"/>
            <w:r>
              <w:rPr>
                <w:rFonts w:hint="eastAsia" w:ascii="宋体" w:hAnsi="宋体" w:eastAsia="宋体" w:cs="宋体"/>
                <w:color w:val="auto"/>
                <w:highlight w:val="none"/>
              </w:rPr>
              <w:t xml:space="preserve">无</w:t>
            </w:r>
            <w:r/>
          </w:p>
        </w:tc>
      </w:tr>
      <w:tr>
        <w:trPr>
          <w:jc w:val="center"/>
          <w:trHeight w:val="810"/>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w:t>
            </w:r>
            <w:r/>
          </w:p>
        </w:tc>
        <w:tc>
          <w:tcPr>
            <w:tcW w:w="238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供应商要求澄清招标文件的截止时间</w:t>
            </w:r>
            <w:r/>
          </w:p>
        </w:tc>
        <w:tc>
          <w:tcPr>
            <w:gridSpan w:val="2"/>
            <w:tcW w:w="615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4 </w:t>
            </w:r>
            <w:r>
              <w:rPr>
                <w:rFonts w:hint="eastAsia" w:ascii="宋体" w:hAnsi="宋体" w:eastAsia="宋体" w:cs="宋体"/>
                <w:color w:val="auto"/>
                <w:highlight w:val="none"/>
              </w:rPr>
              <w:t xml:space="preserve">日</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时</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分</w:t>
            </w:r>
            <w:r/>
          </w:p>
        </w:tc>
      </w:tr>
      <w:tr>
        <w:trPr>
          <w:jc w:val="center"/>
          <w:trHeight w:val="416"/>
        </w:trPr>
        <w:tc>
          <w:tcPr>
            <w:tcW w:w="1089"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w:t>
            </w:r>
            <w:r/>
          </w:p>
        </w:tc>
        <w:tc>
          <w:tcPr>
            <w:tcW w:w="2381"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投标文件的组成</w:t>
            </w:r>
            <w:r/>
          </w:p>
        </w:tc>
        <w:tc>
          <w:tcPr>
            <w:gridSpan w:val="2"/>
            <w:tcW w:w="6158" w:type="dxa"/>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（1）开标一览表；</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（2）投标函；</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（3）中小企业声明函；</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）资格性审查和符合性评审文件；</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）投标偏离表；</w:t>
            </w:r>
            <w:r/>
          </w:p>
          <w:p>
            <w:pPr>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）对照第三章评标办法，认为应列入投标文件的其他材料</w:t>
            </w:r>
            <w:r>
              <w:rPr>
                <w:rFonts w:hint="eastAsia" w:ascii="宋体" w:hAnsi="宋体" w:eastAsia="宋体" w:cs="宋体"/>
                <w:color w:val="auto"/>
                <w:highlight w:val="none"/>
                <w:lang w:eastAsia="zh-CN"/>
              </w:rPr>
              <w:t xml:space="preserve">；</w:t>
            </w:r>
            <w:r/>
          </w:p>
          <w:p>
            <w:pPr>
              <w:pStyle w:val="648"/>
              <w:ind w:left="0"/>
              <w:spacing w:after="0"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）法定代表人身份证明书或法定代表人授权委托书（附身份证复印件）</w:t>
            </w:r>
            <w:r>
              <w:rPr>
                <w:rFonts w:hint="eastAsia" w:ascii="宋体" w:hAnsi="宋体" w:eastAsia="宋体" w:cs="宋体"/>
                <w:color w:val="auto"/>
                <w:highlight w:val="none"/>
                <w:lang w:eastAsia="zh-CN"/>
              </w:rPr>
              <w:t xml:space="preserve">。</w:t>
            </w:r>
            <w:r/>
          </w:p>
        </w:tc>
      </w:tr>
      <w:tr>
        <w:trPr>
          <w:jc w:val="center"/>
          <w:trHeight w:val="386"/>
        </w:trPr>
        <w:tc>
          <w:tcPr>
            <w:tcW w:w="1089"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3.3.1</w:t>
            </w:r>
            <w:r/>
          </w:p>
        </w:tc>
        <w:tc>
          <w:tcPr>
            <w:tcW w:w="2381"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投标有效期</w:t>
            </w:r>
            <w:r/>
          </w:p>
        </w:tc>
        <w:tc>
          <w:tcPr>
            <w:gridSpan w:val="2"/>
            <w:tcW w:w="615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60天</w:t>
            </w:r>
            <w:r/>
          </w:p>
        </w:tc>
      </w:tr>
      <w:tr>
        <w:trPr>
          <w:jc w:val="center"/>
          <w:trHeight w:val="433"/>
        </w:trPr>
        <w:tc>
          <w:tcPr>
            <w:tcW w:w="1089"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3.4.3</w:t>
            </w:r>
            <w:r/>
          </w:p>
        </w:tc>
        <w:tc>
          <w:tcPr>
            <w:tcW w:w="2381" w:type="dxa"/>
            <w:vAlign w:val="center"/>
            <w:textDirection w:val="lrTb"/>
            <w:noWrap w:val="false"/>
          </w:tcPr>
          <w:p>
            <w:pPr>
              <w:jc w:val="cente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投标文件的份数</w:t>
            </w:r>
            <w:r/>
          </w:p>
        </w:tc>
        <w:tc>
          <w:tcPr>
            <w:gridSpan w:val="2"/>
            <w:tcW w:w="6158" w:type="dxa"/>
            <w:vAlign w:val="center"/>
            <w:textDirection w:val="lrTb"/>
            <w:noWrap w:val="false"/>
          </w:tcPr>
          <w:p>
            <w:pPr>
              <w:spacing w:line="3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3.4.4</w:t>
            </w:r>
            <w:r/>
          </w:p>
        </w:tc>
        <w:tc>
          <w:tcPr>
            <w:tcW w:w="23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投标文件的签署</w:t>
            </w:r>
            <w:r/>
          </w:p>
        </w:tc>
        <w:tc>
          <w:tcPr>
            <w:gridSpan w:val="2"/>
            <w:tcW w:w="615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1.投标函、供应商基本资格条件承诺函</w:t>
            </w:r>
            <w:r>
              <w:rPr>
                <w:rFonts w:hint="eastAsia" w:ascii="宋体" w:hAnsi="宋体" w:eastAsia="宋体" w:cs="宋体"/>
                <w:color w:val="auto"/>
                <w:highlight w:val="none"/>
                <w:lang w:eastAsia="zh-CN"/>
              </w:rPr>
              <w:t xml:space="preserve">（内容完整且</w:t>
            </w:r>
            <w:r>
              <w:rPr>
                <w:rFonts w:hint="eastAsia" w:ascii="宋体" w:hAnsi="宋体" w:eastAsia="宋体" w:cs="宋体"/>
                <w:color w:val="auto"/>
                <w:highlight w:val="none"/>
                <w:lang w:val="en-US" w:eastAsia="zh-CN"/>
              </w:rPr>
              <w:t xml:space="preserve">签章完备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5.1.1</w:t>
            </w:r>
            <w:r/>
          </w:p>
        </w:tc>
        <w:tc>
          <w:tcPr>
            <w:tcW w:w="23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开标时间和地点</w:t>
            </w:r>
            <w:r/>
          </w:p>
        </w:tc>
        <w:tc>
          <w:tcPr>
            <w:gridSpan w:val="2"/>
            <w:tcW w:w="6158"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开标时间：</w:t>
            </w:r>
            <w:bookmarkStart w:id="60" w:name="EB72e20e40757d438698d0d924b6237fcc"/>
            <w:r/>
            <w:bookmarkEnd w:id="60"/>
            <w:r>
              <w:rPr>
                <w:rFonts w:hint="eastAsia" w:ascii="宋体" w:hAnsi="宋体" w:eastAsia="宋体" w:cs="宋体"/>
                <w:color w:val="auto"/>
                <w:szCs w:val="21"/>
                <w:highlight w:val="none"/>
              </w:rPr>
              <w:t xml:space="preserve">见招标公告</w:t>
            </w:r>
            <w:r/>
          </w:p>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开标地点：</w:t>
            </w:r>
            <w:r>
              <w:rPr>
                <w:rFonts w:hint="eastAsia" w:ascii="宋体" w:hAnsi="宋体" w:eastAsia="宋体" w:cs="宋体"/>
                <w:color w:val="auto"/>
                <w:szCs w:val="21"/>
                <w:highlight w:val="none"/>
              </w:rPr>
              <w:t xml:space="preserve">见招标公告</w:t>
            </w:r>
            <w:r/>
          </w:p>
        </w:tc>
      </w:tr>
      <w:tr>
        <w:trPr>
          <w:jc w:val="center"/>
          <w:trHeight w:val="650"/>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5.1.2</w:t>
            </w:r>
            <w:r/>
          </w:p>
        </w:tc>
        <w:tc>
          <w:tcPr>
            <w:tcW w:w="2381" w:type="dxa"/>
            <w:vAlign w:val="center"/>
            <w:textDirection w:val="lrTb"/>
            <w:noWrap w:val="false"/>
          </w:tcPr>
          <w:p>
            <w:pPr>
              <w:jc w:val="cente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供应商参与开标要求</w:t>
            </w:r>
            <w:r/>
          </w:p>
        </w:tc>
        <w:tc>
          <w:tcPr>
            <w:gridSpan w:val="2"/>
            <w:tcW w:w="6158"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开标活动将在招标公告中规定的时间和地点进行。供应商应当按照规定，参加开标活动。</w:t>
            </w:r>
            <w:r/>
          </w:p>
        </w:tc>
      </w:tr>
      <w:tr>
        <w:trPr>
          <w:jc w:val="center"/>
          <w:trHeight w:val="624"/>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7.2.1</w:t>
            </w:r>
            <w:r/>
          </w:p>
        </w:tc>
        <w:tc>
          <w:tcPr>
            <w:tcW w:w="23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中标公告媒介</w:t>
            </w:r>
            <w:r/>
          </w:p>
        </w:tc>
        <w:tc>
          <w:tcPr>
            <w:gridSpan w:val="2"/>
            <w:tcW w:w="6158"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江苏政府采购网（www.ccgp-jiangsu.gov.cn）</w:t>
            </w:r>
            <w:r/>
          </w:p>
        </w:tc>
      </w:tr>
      <w:tr>
        <w:trPr>
          <w:jc w:val="center"/>
          <w:trHeight w:val="427"/>
        </w:trPr>
        <w:tc>
          <w:tcPr>
            <w:tcW w:w="1089"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8.1.1</w:t>
            </w:r>
            <w:r/>
          </w:p>
        </w:tc>
        <w:tc>
          <w:tcPr>
            <w:tcW w:w="238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w:t>
            </w:r>
            <w:r/>
          </w:p>
        </w:tc>
        <w:tc>
          <w:tcPr>
            <w:gridSpan w:val="2"/>
            <w:tcW w:w="6158"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（1）履约保证金形式：支票、汇票、本票或者金融机构、担保机构出具的保函（保险）</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电子履约保函（保险）等法律法规允许的非现金形式</w:t>
            </w:r>
            <w:r/>
          </w:p>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（2）金额：</w:t>
            </w:r>
            <w:r>
              <w:rPr>
                <w:rFonts w:hint="eastAsia" w:ascii="宋体" w:hAnsi="宋体" w:eastAsia="宋体" w:cs="宋体"/>
                <w:color w:val="auto"/>
                <w:highlight w:val="none"/>
                <w:lang w:val="en-US" w:eastAsia="zh-CN"/>
              </w:rPr>
              <w:t xml:space="preserve">合同价的3</w:t>
            </w:r>
            <w:r>
              <w:rPr>
                <w:rFonts w:hint="eastAsia" w:ascii="宋体" w:hAnsi="宋体" w:eastAsia="宋体" w:cs="宋体"/>
                <w:color w:val="auto"/>
                <w:highlight w:val="none"/>
              </w:rPr>
              <w:t xml:space="preserve">%</w:t>
            </w:r>
            <w:r/>
          </w:p>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（3）缴纳时间：在确定中标投标人之后,签订采购合同前。</w:t>
            </w:r>
            <w:r/>
          </w:p>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（4）退还时间：合同履约结束验收合格后退还。</w:t>
            </w:r>
            <w:r/>
          </w:p>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注：电子履约保函（保险）的形式和缴纳方式执行“关于在全省政府采购领域推行电子履约保函(保险)的通知”（苏财购〔2023〕150号）。</w:t>
            </w:r>
            <w:r/>
          </w:p>
        </w:tc>
      </w:tr>
      <w:tr>
        <w:trPr>
          <w:jc w:val="center"/>
          <w:trHeight w:val="702"/>
        </w:trPr>
        <w:tc>
          <w:tcPr>
            <w:tcW w:w="1089"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8.2.1</w:t>
            </w:r>
            <w:r/>
          </w:p>
        </w:tc>
        <w:tc>
          <w:tcPr>
            <w:tcW w:w="238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签订合同的</w:t>
            </w:r>
            <w:r/>
          </w:p>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时间要求</w:t>
            </w:r>
            <w:r/>
          </w:p>
        </w:tc>
        <w:tc>
          <w:tcPr>
            <w:gridSpan w:val="2"/>
            <w:tcW w:w="6158"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自中标通知书发出之日起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rPr>
              <w:t xml:space="preserve">天内</w:t>
            </w:r>
            <w:r/>
          </w:p>
        </w:tc>
      </w:tr>
      <w:tr>
        <w:trPr>
          <w:jc w:val="center"/>
        </w:trPr>
        <w:tc>
          <w:tcPr>
            <w:tcW w:w="1089"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9</w:t>
            </w:r>
            <w:r/>
          </w:p>
        </w:tc>
        <w:tc>
          <w:tcPr>
            <w:gridSpan w:val="3"/>
            <w:tcW w:w="8539"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9.1</w:t>
            </w:r>
            <w:r/>
          </w:p>
        </w:tc>
        <w:tc>
          <w:tcPr>
            <w:gridSpan w:val="2"/>
            <w:tcW w:w="252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质疑和投诉</w:t>
            </w:r>
            <w:r/>
          </w:p>
        </w:tc>
        <w:tc>
          <w:tcPr>
            <w:tcW w:w="6018"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按照《政府采购质疑和投诉办法》（财政部第94号令）处理</w:t>
            </w:r>
            <w:r/>
          </w:p>
        </w:tc>
      </w:tr>
      <w:tr>
        <w:trPr>
          <w:jc w:val="center"/>
          <w:trHeight w:val="472"/>
        </w:trPr>
        <w:tc>
          <w:tcPr>
            <w:tcW w:w="1089"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9.2</w:t>
            </w:r>
            <w:r/>
          </w:p>
        </w:tc>
        <w:tc>
          <w:tcPr>
            <w:gridSpan w:val="2"/>
            <w:tcW w:w="252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招标文件的解释</w:t>
            </w:r>
            <w:r/>
          </w:p>
        </w:tc>
        <w:tc>
          <w:tcPr>
            <w:tcW w:w="6018"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9.3</w:t>
            </w:r>
            <w:r/>
          </w:p>
        </w:tc>
        <w:tc>
          <w:tcPr>
            <w:gridSpan w:val="2"/>
            <w:tcW w:w="252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w:t>
            </w:r>
            <w:r/>
          </w:p>
        </w:tc>
        <w:tc>
          <w:tcPr>
            <w:tcW w:w="6018" w:type="dxa"/>
            <w:textDirection w:val="lrTb"/>
            <w:noWrap w:val="false"/>
          </w:tcPr>
          <w:p>
            <w:pPr>
              <w:pStyle w:val="673"/>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9.4</w:t>
            </w:r>
            <w:r/>
          </w:p>
        </w:tc>
        <w:tc>
          <w:tcPr>
            <w:gridSpan w:val="2"/>
            <w:tcW w:w="252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W w:w="6018"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2.中标价即为</w:t>
            </w:r>
            <w:r>
              <w:rPr>
                <w:rFonts w:hint="eastAsia" w:ascii="宋体" w:hAnsi="宋体" w:eastAsia="宋体" w:cs="宋体"/>
                <w:color w:val="auto"/>
                <w:highlight w:val="none"/>
                <w:lang w:val="en-US" w:eastAsia="zh-CN"/>
              </w:rPr>
              <w:t xml:space="preserve">合</w:t>
            </w:r>
            <w:r>
              <w:rPr>
                <w:rFonts w:hint="eastAsia" w:ascii="宋体" w:hAnsi="宋体" w:eastAsia="宋体" w:cs="宋体"/>
                <w:color w:val="auto"/>
                <w:highlight w:val="none"/>
              </w:rPr>
              <w:t xml:space="preserve">同</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价，在合同期内不予调增。</w:t>
            </w:r>
            <w:r/>
          </w:p>
          <w:p>
            <w:pPr>
              <w:jc w:val="left"/>
              <w:spacing w:line="36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宋体" w:hAnsi="宋体" w:eastAsia="宋体" w:cs="宋体"/>
                <w:b/>
                <w:color w:val="auto"/>
                <w:highlight w:val="none"/>
              </w:rPr>
            </w:pPr>
            <w:r/>
            <w:bookmarkStart w:id="61" w:name="_Toc367784995"/>
            <w:r/>
            <w:bookmarkStart w:id="62" w:name="_Toc426469871"/>
            <w:r>
              <w:rPr>
                <w:rFonts w:hint="eastAsia" w:ascii="宋体" w:hAnsi="宋体" w:eastAsia="宋体" w:cs="宋体"/>
                <w:b/>
                <w:color w:val="auto"/>
                <w:highlight w:val="none"/>
              </w:rPr>
              <w:t xml:space="preserve">9.5</w:t>
            </w:r>
            <w:r/>
          </w:p>
        </w:tc>
        <w:tc>
          <w:tcPr>
            <w:gridSpan w:val="2"/>
            <w:tcW w:w="2521" w:type="dxa"/>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其他内容</w:t>
            </w:r>
            <w:r/>
          </w:p>
        </w:tc>
        <w:tc>
          <w:tcPr>
            <w:tcW w:w="6018" w:type="dxa"/>
            <w:vAlign w:val="center"/>
            <w:textDirection w:val="lrTb"/>
            <w:noWrap w:val="false"/>
          </w:tcPr>
          <w:p>
            <w:pPr>
              <w:jc w:val="left"/>
              <w:keepLines w:val="0"/>
              <w:keepNext w:val="0"/>
              <w:pageBreakBefore w:val="0"/>
              <w:spacing w:line="320" w:lineRule="exact"/>
              <w:widowControl w:val="off"/>
              <w:rPr>
                <w:rFonts w:hint="eastAsia" w:ascii="宋体" w:hAnsi="宋体" w:cs="宋体"/>
                <w:b w:val="0"/>
                <w:bCs w:val="0"/>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b/>
                <w:bCs/>
                <w:color w:val="auto"/>
                <w:highlight w:val="none"/>
              </w:rPr>
              <w:t xml:space="preserve">招标代理服务费</w:t>
            </w:r>
            <w:r>
              <w:rPr>
                <w:rFonts w:hint="eastAsia" w:ascii="宋体" w:hAnsi="宋体" w:cs="宋体"/>
                <w:b/>
                <w:bCs/>
                <w:color w:val="auto"/>
                <w:highlight w:val="none"/>
                <w:lang w:eastAsia="zh-CN"/>
              </w:rPr>
              <w:t xml:space="preserve">：</w:t>
            </w:r>
            <w:bookmarkStart w:id="63" w:name="OLE_LINK197"/>
            <w:r/>
            <w:bookmarkStart w:id="64" w:name="OLE_LINK198"/>
            <w:r/>
            <w:bookmarkStart w:id="65" w:name="OLE_LINK256"/>
            <w:r/>
            <w:bookmarkStart w:id="66" w:name="OLE_LINK257"/>
            <w:r>
              <w:rPr>
                <w:rFonts w:hint="eastAsia" w:ascii="宋体" w:hAnsi="宋体" w:cs="宋体"/>
                <w:b/>
                <w:bCs/>
                <w:color w:val="auto"/>
                <w:highlight w:val="none"/>
                <w:lang w:eastAsia="zh-CN"/>
              </w:rPr>
              <w:t xml:space="preserve">按照计价格【2002】1980号文件及发改价格【2011】534号文件规定的</w:t>
            </w:r>
            <w:r>
              <w:rPr>
                <w:rFonts w:hint="eastAsia" w:ascii="宋体" w:hAnsi="宋体" w:cs="宋体"/>
                <w:b/>
                <w:bCs/>
                <w:color w:val="auto"/>
                <w:highlight w:val="none"/>
                <w:lang w:val="en-US" w:eastAsia="zh-CN"/>
              </w:rPr>
              <w:t xml:space="preserve">58</w:t>
            </w:r>
            <w:r>
              <w:rPr>
                <w:rFonts w:hint="eastAsia" w:ascii="宋体" w:hAnsi="宋体" w:cs="宋体"/>
                <w:b/>
                <w:bCs/>
                <w:color w:val="auto"/>
                <w:highlight w:val="none"/>
                <w:lang w:eastAsia="zh-CN"/>
              </w:rPr>
              <w:t xml:space="preserve">%计取</w:t>
            </w:r>
            <w:bookmarkEnd w:id="63"/>
            <w:r/>
            <w:bookmarkEnd w:id="64"/>
            <w:r/>
            <w:bookmarkEnd w:id="65"/>
            <w:r/>
            <w:bookmarkEnd w:id="66"/>
            <w:r>
              <w:rPr>
                <w:rFonts w:hint="eastAsia" w:ascii="宋体" w:hAnsi="宋体" w:cs="宋体"/>
                <w:b w:val="0"/>
                <w:bCs w:val="0"/>
                <w:color w:val="auto"/>
                <w:highlight w:val="none"/>
                <w:lang w:val="en-US" w:eastAsia="zh-CN"/>
              </w:rPr>
              <w:t xml:space="preserve">，</w:t>
            </w:r>
            <w:r>
              <w:rPr>
                <w:rFonts w:hint="eastAsia" w:ascii="宋体" w:hAnsi="宋体" w:cs="宋体"/>
                <w:b w:val="0"/>
                <w:bCs w:val="0"/>
                <w:color w:val="auto"/>
                <w:highlight w:val="none"/>
                <w:lang w:val="en-US" w:eastAsia="zh-CN"/>
              </w:rPr>
              <w:t xml:space="preserve">此项费用包含在投标报价中，由中标人在领取中标通知书前支付给招标代理单位。</w:t>
            </w:r>
            <w:r/>
          </w:p>
          <w:p>
            <w:pPr>
              <w:pStyle w:val="659"/>
              <w:ind w:left="0" w:firstLine="0"/>
              <w:keepLines w:val="0"/>
              <w:keepNext w:val="0"/>
              <w:pageBreakBefore w:val="0"/>
              <w:spacing w:line="320" w:lineRule="exact"/>
              <w:widowControl w:val="off"/>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2、企业类型（小型、微型）的判定可参照《关于印发中小企业划型标准规定的通知》（工信部联企业【2011】300号）文件，本项目所属行业为租赁和商务服务业。</w:t>
            </w:r>
            <w:r/>
          </w:p>
        </w:tc>
      </w:tr>
    </w:tbl>
    <w:p>
      <w:pPr>
        <w:spacing w:line="490" w:lineRule="exact"/>
        <w:rPr>
          <w:rFonts w:hint="eastAsia" w:ascii="宋体" w:hAnsi="宋体" w:eastAsia="宋体" w:cs="宋体"/>
          <w:color w:val="auto"/>
          <w:highlight w:val="none"/>
        </w:rPr>
        <w:outlineLvl w:val="1"/>
      </w:pPr>
      <w:r/>
      <w:bookmarkStart w:id="67" w:name="_Toc14081"/>
      <w:r>
        <w:rPr>
          <w:rFonts w:hint="eastAsia" w:ascii="宋体" w:hAnsi="宋体" w:eastAsia="宋体" w:cs="宋体"/>
          <w:color w:val="auto"/>
          <w:highlight w:val="none"/>
        </w:rPr>
        <w:t xml:space="preserve">1.总则</w:t>
      </w:r>
      <w:bookmarkEnd w:id="61"/>
      <w:r/>
      <w:bookmarkEnd w:id="62"/>
      <w:r/>
      <w:bookmarkEnd w:id="67"/>
      <w:r/>
      <w:r/>
    </w:p>
    <w:p>
      <w:pPr>
        <w:spacing w:line="490" w:lineRule="exact"/>
        <w:rPr>
          <w:rFonts w:hint="eastAsia" w:ascii="宋体" w:hAnsi="宋体" w:eastAsia="宋体" w:cs="宋体"/>
          <w:b/>
          <w:color w:val="auto"/>
          <w:highlight w:val="none"/>
        </w:rPr>
      </w:pPr>
      <w:r/>
      <w:bookmarkStart w:id="68" w:name="_Toc246996919"/>
      <w:r/>
      <w:bookmarkStart w:id="69" w:name="_Toc246996176"/>
      <w:r/>
      <w:bookmarkStart w:id="70" w:name="_Toc426469872"/>
      <w:r/>
      <w:bookmarkStart w:id="71" w:name="_Toc144974498"/>
      <w:r/>
      <w:bookmarkStart w:id="72" w:name="_Toc152042306"/>
      <w:r/>
      <w:bookmarkStart w:id="73" w:name="_Toc247085690"/>
      <w:r/>
      <w:bookmarkStart w:id="74" w:name="_Toc152045530"/>
      <w:r/>
      <w:bookmarkStart w:id="75" w:name="_Toc179632547"/>
      <w:r/>
      <w:bookmarkStart w:id="76" w:name="_Toc383438593"/>
      <w:r/>
      <w:bookmarkStart w:id="77" w:name="_Toc343525506"/>
      <w:r/>
      <w:bookmarkStart w:id="78" w:name="_Toc367784996"/>
      <w:r>
        <w:rPr>
          <w:rFonts w:hint="eastAsia" w:ascii="宋体" w:hAnsi="宋体" w:eastAsia="宋体" w:cs="宋体"/>
          <w:b/>
          <w:color w:val="auto"/>
          <w:highlight w:val="none"/>
        </w:rPr>
        <w:t xml:space="preserve">1.1 项目概况</w:t>
      </w:r>
      <w:bookmarkEnd w:id="68"/>
      <w:r/>
      <w:bookmarkEnd w:id="69"/>
      <w:r/>
      <w:bookmarkEnd w:id="70"/>
      <w:r/>
      <w:bookmarkEnd w:id="71"/>
      <w:r/>
      <w:bookmarkEnd w:id="72"/>
      <w:r/>
      <w:bookmarkEnd w:id="73"/>
      <w:r/>
      <w:bookmarkEnd w:id="74"/>
      <w:r/>
      <w:bookmarkEnd w:id="75"/>
      <w:r/>
      <w:bookmarkEnd w:id="76"/>
      <w:r/>
      <w:bookmarkEnd w:id="77"/>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1.1.1根据《中华人民共和国政府采购法》、《中华人民共和国政府采购法实施条例》等有关法律、法规和规章的规定，本采购项目已具备采购条件，现对本项目进行公开招标。</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1.1.2 招标人：见供应商须知前附表。</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1.1.3 采购代理机构：见供应商须知前附表。</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1.1.4 项目名称及项目编号：见供应商须知前附表。</w:t>
      </w:r>
      <w:r/>
    </w:p>
    <w:p>
      <w:pPr>
        <w:spacing w:line="490" w:lineRule="exact"/>
        <w:rPr>
          <w:rFonts w:hint="eastAsia" w:ascii="宋体" w:hAnsi="宋体" w:eastAsia="宋体" w:cs="宋体"/>
          <w:b/>
          <w:color w:val="auto"/>
          <w:highlight w:val="none"/>
        </w:rPr>
      </w:pPr>
      <w:r/>
      <w:bookmarkStart w:id="79" w:name="_Toc246996920"/>
      <w:r/>
      <w:bookmarkStart w:id="80" w:name="_Toc426469873"/>
      <w:r/>
      <w:bookmarkStart w:id="81" w:name="_Toc152045531"/>
      <w:r/>
      <w:bookmarkStart w:id="82" w:name="_Toc247085691"/>
      <w:r/>
      <w:bookmarkStart w:id="83" w:name="_Toc343525507"/>
      <w:r/>
      <w:bookmarkStart w:id="84" w:name="_Toc383438594"/>
      <w:r/>
      <w:bookmarkStart w:id="85" w:name="_Toc152042307"/>
      <w:r/>
      <w:bookmarkStart w:id="86" w:name="_Toc246996177"/>
      <w:r/>
      <w:bookmarkStart w:id="87" w:name="_Toc179632548"/>
      <w:r/>
      <w:bookmarkStart w:id="88" w:name="_Toc144974499"/>
      <w:r>
        <w:rPr>
          <w:rFonts w:hint="eastAsia" w:ascii="宋体" w:hAnsi="宋体" w:eastAsia="宋体" w:cs="宋体"/>
          <w:b/>
          <w:color w:val="auto"/>
          <w:highlight w:val="none"/>
        </w:rPr>
        <w:t xml:space="preserve">1.2</w:t>
      </w:r>
      <w:bookmarkEnd w:id="79"/>
      <w:r/>
      <w:bookmarkEnd w:id="80"/>
      <w:r/>
      <w:bookmarkEnd w:id="81"/>
      <w:r/>
      <w:bookmarkEnd w:id="82"/>
      <w:r/>
      <w:bookmarkEnd w:id="83"/>
      <w:r/>
      <w:bookmarkEnd w:id="84"/>
      <w:r/>
      <w:bookmarkEnd w:id="85"/>
      <w:r/>
      <w:bookmarkEnd w:id="86"/>
      <w:r/>
      <w:bookmarkEnd w:id="87"/>
      <w:r/>
      <w:bookmarkEnd w:id="88"/>
      <w:r>
        <w:rPr>
          <w:rFonts w:hint="eastAsia" w:ascii="宋体" w:hAnsi="宋体" w:eastAsia="宋体" w:cs="宋体"/>
          <w:b/>
          <w:color w:val="auto"/>
          <w:highlight w:val="none"/>
        </w:rPr>
        <w:t xml:space="preserve">付款方式</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1.2.1付款方式：见供应商须知前附表。</w:t>
      </w:r>
      <w:r/>
    </w:p>
    <w:p>
      <w:pPr>
        <w:spacing w:line="490" w:lineRule="exact"/>
        <w:rPr>
          <w:rFonts w:hint="eastAsia" w:ascii="宋体" w:hAnsi="宋体" w:eastAsia="宋体" w:cs="宋体"/>
          <w:b/>
          <w:color w:val="auto"/>
          <w:highlight w:val="none"/>
        </w:rPr>
      </w:pPr>
      <w:r/>
      <w:bookmarkStart w:id="89" w:name="_Toc144974500"/>
      <w:r/>
      <w:bookmarkStart w:id="90" w:name="_Toc343525508"/>
      <w:r/>
      <w:bookmarkStart w:id="91" w:name="_Toc247085692"/>
      <w:r/>
      <w:bookmarkStart w:id="92" w:name="_Toc152045532"/>
      <w:r/>
      <w:bookmarkStart w:id="93" w:name="_Toc246996921"/>
      <w:r/>
      <w:bookmarkStart w:id="94" w:name="_Toc246996178"/>
      <w:r/>
      <w:bookmarkStart w:id="95" w:name="_Toc383438595"/>
      <w:r/>
      <w:bookmarkStart w:id="96" w:name="_Toc152042308"/>
      <w:r/>
      <w:bookmarkStart w:id="97" w:name="_Toc179632549"/>
      <w:r/>
      <w:bookmarkStart w:id="98" w:name="_Toc426469874"/>
      <w:r>
        <w:rPr>
          <w:rFonts w:hint="eastAsia" w:ascii="宋体" w:hAnsi="宋体" w:eastAsia="宋体" w:cs="宋体"/>
          <w:b/>
          <w:color w:val="auto"/>
          <w:highlight w:val="none"/>
        </w:rPr>
        <w:t xml:space="preserve">1.3 </w:t>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b/>
          <w:color w:val="auto"/>
          <w:highlight w:val="none"/>
        </w:rPr>
        <w:t xml:space="preserve">采购范围</w:t>
      </w:r>
      <w:bookmarkEnd w:id="98"/>
      <w:r>
        <w:rPr>
          <w:rFonts w:hint="eastAsia" w:ascii="宋体" w:hAnsi="宋体" w:eastAsia="宋体" w:cs="宋体"/>
          <w:b/>
          <w:color w:val="auto"/>
          <w:highlight w:val="none"/>
        </w:rPr>
        <w:t xml:space="preserve">与服务期限</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 采购范围：见供应商须知前附表。</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1.3.2 服务期限：见供应商须知前附表。</w:t>
      </w:r>
      <w:r/>
    </w:p>
    <w:p>
      <w:pPr>
        <w:spacing w:line="490" w:lineRule="exact"/>
        <w:rPr>
          <w:rFonts w:hint="eastAsia" w:ascii="宋体" w:hAnsi="宋体" w:eastAsia="宋体" w:cs="宋体"/>
          <w:b/>
          <w:color w:val="auto"/>
          <w:highlight w:val="none"/>
        </w:rPr>
      </w:pPr>
      <w:r/>
      <w:bookmarkStart w:id="99" w:name="_Toc246996179"/>
      <w:r/>
      <w:bookmarkStart w:id="100" w:name="_Toc247085693"/>
      <w:r/>
      <w:bookmarkStart w:id="101" w:name="_Toc426469875"/>
      <w:r/>
      <w:bookmarkStart w:id="102" w:name="_Toc343525509"/>
      <w:r/>
      <w:bookmarkStart w:id="103" w:name="_Toc152042310"/>
      <w:r/>
      <w:bookmarkStart w:id="104" w:name="_Toc152045534"/>
      <w:r/>
      <w:bookmarkStart w:id="105" w:name="_Toc246996922"/>
      <w:r/>
      <w:bookmarkStart w:id="106" w:name="_Toc179632551"/>
      <w:r/>
      <w:bookmarkStart w:id="107" w:name="_Toc383438596"/>
      <w:r/>
      <w:bookmarkStart w:id="108" w:name="_Toc144974502"/>
      <w:r>
        <w:rPr>
          <w:rFonts w:hint="eastAsia" w:ascii="宋体" w:hAnsi="宋体" w:eastAsia="宋体" w:cs="宋体"/>
          <w:b/>
          <w:color w:val="auto"/>
          <w:highlight w:val="none"/>
        </w:rPr>
        <w:t xml:space="preserve">1.4 供应商资格要求</w:t>
      </w:r>
      <w:bookmarkEnd w:id="99"/>
      <w:r/>
      <w:bookmarkEnd w:id="100"/>
      <w:r/>
      <w:bookmarkEnd w:id="101"/>
      <w:r/>
      <w:bookmarkEnd w:id="102"/>
      <w:r/>
      <w:bookmarkEnd w:id="103"/>
      <w:r/>
      <w:bookmarkEnd w:id="104"/>
      <w:r/>
      <w:bookmarkEnd w:id="105"/>
      <w:r/>
      <w:bookmarkEnd w:id="106"/>
      <w:r/>
      <w:bookmarkEnd w:id="107"/>
      <w:r/>
      <w:bookmarkEnd w:id="108"/>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1.4.1 供应商参加政府采购活动应当具备下列条件：</w:t>
      </w:r>
      <w:r/>
    </w:p>
    <w:p>
      <w:pPr>
        <w:ind w:firstLine="480"/>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ind w:firstLine="480"/>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ind w:firstLine="480"/>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ind w:firstLine="480"/>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ind w:firstLine="480"/>
        <w:keepLines w:val="0"/>
        <w:keepNext w:val="0"/>
        <w:pageBreakBefore w:val="0"/>
        <w:spacing w:line="3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ind w:firstLine="480"/>
        <w:keepLines w:val="0"/>
        <w:keepNext w:val="0"/>
        <w:pageBreakBefore w:val="0"/>
        <w:spacing w:line="3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（6）法律、行政法规规定的其他条件</w:t>
      </w:r>
      <w:r>
        <w:rPr>
          <w:rFonts w:hint="eastAsia" w:ascii="宋体" w:hAnsi="宋体" w:cs="宋体"/>
          <w:color w:val="auto"/>
          <w:highlight w:val="none"/>
          <w:lang w:eastAsia="zh-CN"/>
        </w:rPr>
        <w:t xml:space="preserve">；</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1.4.2根据采购项目特殊要求，要求供应商具备的特定条件：见供应商须知前附表。</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1.4.3供应商不得存在下列情形之一：</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（l）与招标人或采购代理机构存在隶属关系或者其他利害关系；</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（2）为采购项目提供了整体设计、规范编制或者项目管理、监理、检测等服务；</w:t>
      </w:r>
      <w:r/>
    </w:p>
    <w:p>
      <w:pPr>
        <w:spacing w:line="490" w:lineRule="exact"/>
        <w:rPr>
          <w:rFonts w:hint="eastAsia" w:ascii="宋体" w:hAnsi="宋体" w:eastAsia="宋体" w:cs="宋体"/>
          <w:b/>
          <w:color w:val="auto"/>
          <w:highlight w:val="none"/>
        </w:rPr>
      </w:pPr>
      <w:r/>
      <w:bookmarkStart w:id="109" w:name="_Toc152042311"/>
      <w:r/>
      <w:bookmarkStart w:id="110" w:name="_Toc246996923"/>
      <w:r/>
      <w:bookmarkStart w:id="111" w:name="_Toc383438597"/>
      <w:r/>
      <w:bookmarkStart w:id="112" w:name="_Toc247085694"/>
      <w:r/>
      <w:bookmarkStart w:id="113" w:name="_Toc179632552"/>
      <w:r/>
      <w:bookmarkStart w:id="114" w:name="_Toc144974503"/>
      <w:r/>
      <w:bookmarkStart w:id="115" w:name="_Toc343525510"/>
      <w:r/>
      <w:bookmarkStart w:id="116" w:name="_Toc246996180"/>
      <w:r/>
      <w:bookmarkStart w:id="117" w:name="_Toc152045535"/>
      <w:r/>
      <w:bookmarkStart w:id="118" w:name="_Toc426469876"/>
      <w:r>
        <w:rPr>
          <w:rFonts w:hint="eastAsia" w:ascii="宋体" w:hAnsi="宋体" w:eastAsia="宋体" w:cs="宋体"/>
          <w:b/>
          <w:color w:val="auto"/>
          <w:highlight w:val="none"/>
        </w:rPr>
        <w:t xml:space="preserve">1.5费用承担</w:t>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无论采购结果如何，供应商为准备和参加投标活动发生的费用自理。</w:t>
      </w:r>
      <w:r/>
    </w:p>
    <w:p>
      <w:pPr>
        <w:spacing w:line="490" w:lineRule="exact"/>
        <w:rPr>
          <w:rFonts w:hint="eastAsia" w:ascii="宋体" w:hAnsi="宋体" w:eastAsia="宋体" w:cs="宋体"/>
          <w:b/>
          <w:color w:val="auto"/>
          <w:highlight w:val="none"/>
        </w:rPr>
      </w:pPr>
      <w:r/>
      <w:bookmarkStart w:id="119" w:name="_Toc144974505"/>
      <w:r/>
      <w:bookmarkStart w:id="120" w:name="_Toc179632554"/>
      <w:r/>
      <w:bookmarkStart w:id="121" w:name="_Toc426469878"/>
      <w:r/>
      <w:bookmarkStart w:id="122" w:name="_Toc247085696"/>
      <w:r/>
      <w:bookmarkStart w:id="123" w:name="_Toc246996925"/>
      <w:r/>
      <w:bookmarkStart w:id="124" w:name="_Toc246996182"/>
      <w:r/>
      <w:bookmarkStart w:id="125" w:name="_Toc152045537"/>
      <w:r/>
      <w:bookmarkStart w:id="126" w:name="_Toc343525512"/>
      <w:r/>
      <w:bookmarkStart w:id="127" w:name="_Toc383438599"/>
      <w:r/>
      <w:bookmarkStart w:id="128" w:name="_Toc152042313"/>
      <w:r>
        <w:rPr>
          <w:rFonts w:hint="eastAsia" w:ascii="宋体" w:hAnsi="宋体" w:eastAsia="宋体" w:cs="宋体"/>
          <w:b/>
          <w:color w:val="auto"/>
          <w:highlight w:val="none"/>
        </w:rPr>
        <w:t xml:space="preserve">1.6语言</w:t>
      </w:r>
      <w:bookmarkEnd w:id="119"/>
      <w:r>
        <w:rPr>
          <w:rFonts w:hint="eastAsia" w:ascii="宋体" w:hAnsi="宋体" w:eastAsia="宋体" w:cs="宋体"/>
          <w:b/>
          <w:color w:val="auto"/>
          <w:highlight w:val="none"/>
        </w:rPr>
        <w:t xml:space="preserve">文字</w:t>
      </w:r>
      <w:bookmarkEnd w:id="120"/>
      <w:r/>
      <w:bookmarkEnd w:id="121"/>
      <w:r/>
      <w:bookmarkEnd w:id="122"/>
      <w:r/>
      <w:bookmarkEnd w:id="123"/>
      <w:r/>
      <w:bookmarkEnd w:id="124"/>
      <w:r/>
      <w:bookmarkEnd w:id="125"/>
      <w:r/>
      <w:bookmarkEnd w:id="126"/>
      <w:r/>
      <w:bookmarkEnd w:id="127"/>
      <w:r/>
      <w:bookmarkEnd w:id="128"/>
      <w:r/>
      <w:r/>
    </w:p>
    <w:p>
      <w:pPr>
        <w:ind w:firstLine="480"/>
        <w:spacing w:line="490" w:lineRule="exact"/>
        <w:rPr>
          <w:rFonts w:hint="eastAsia" w:ascii="宋体" w:hAnsi="宋体" w:eastAsia="宋体" w:cs="宋体"/>
          <w:color w:val="auto"/>
          <w:highlight w:val="none"/>
        </w:rPr>
      </w:pPr>
      <w:r/>
      <w:bookmarkStart w:id="129" w:name="_Toc144974506"/>
      <w:r/>
      <w:bookmarkStart w:id="130" w:name="_Toc246996926"/>
      <w:r/>
      <w:bookmarkStart w:id="131" w:name="_Toc246996183"/>
      <w:r/>
      <w:bookmarkStart w:id="132" w:name="_Toc152045538"/>
      <w:r/>
      <w:bookmarkStart w:id="133" w:name="_Toc179632555"/>
      <w:r/>
      <w:bookmarkStart w:id="134" w:name="_Toc247085697"/>
      <w:r/>
      <w:bookmarkStart w:id="135" w:name="_Toc152042314"/>
      <w:r>
        <w:rPr>
          <w:rFonts w:hint="eastAsia" w:ascii="宋体" w:hAnsi="宋体" w:eastAsia="宋体" w:cs="宋体"/>
          <w:color w:val="auto"/>
          <w:highlight w:val="none"/>
        </w:rPr>
        <w:t xml:space="preserve">招投标文件使用的语言文字为中文。专用术语使用外文的，应附有中文注释。</w:t>
      </w:r>
      <w:r/>
    </w:p>
    <w:p>
      <w:pPr>
        <w:spacing w:line="490" w:lineRule="exact"/>
        <w:rPr>
          <w:rFonts w:hint="eastAsia" w:ascii="宋体" w:hAnsi="宋体" w:eastAsia="宋体" w:cs="宋体"/>
          <w:b/>
          <w:color w:val="auto"/>
          <w:highlight w:val="none"/>
        </w:rPr>
      </w:pPr>
      <w:r/>
      <w:bookmarkStart w:id="136" w:name="_Toc343525513"/>
      <w:r/>
      <w:bookmarkStart w:id="137" w:name="_Toc426469879"/>
      <w:r/>
      <w:bookmarkStart w:id="138" w:name="_Toc383438600"/>
      <w:r>
        <w:rPr>
          <w:rFonts w:hint="eastAsia" w:ascii="宋体" w:hAnsi="宋体" w:eastAsia="宋体" w:cs="宋体"/>
          <w:b/>
          <w:color w:val="auto"/>
          <w:highlight w:val="none"/>
        </w:rPr>
        <w:t xml:space="preserve">1.7 计量单位</w:t>
      </w:r>
      <w:bookmarkEnd w:id="129"/>
      <w:r/>
      <w:bookmarkEnd w:id="130"/>
      <w:r/>
      <w:bookmarkEnd w:id="131"/>
      <w:r/>
      <w:bookmarkEnd w:id="132"/>
      <w:r/>
      <w:bookmarkEnd w:id="133"/>
      <w:r/>
      <w:bookmarkEnd w:id="134"/>
      <w:r/>
      <w:bookmarkEnd w:id="135"/>
      <w:r/>
      <w:bookmarkEnd w:id="136"/>
      <w:r/>
      <w:bookmarkEnd w:id="137"/>
      <w:r/>
      <w:bookmarkEnd w:id="138"/>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所有计量均采用中华人民共和国法定计量单位。</w:t>
      </w:r>
      <w:r/>
    </w:p>
    <w:p>
      <w:pPr>
        <w:spacing w:line="490" w:lineRule="exact"/>
        <w:rPr>
          <w:rFonts w:hint="eastAsia" w:ascii="宋体" w:hAnsi="宋体" w:eastAsia="宋体" w:cs="宋体"/>
          <w:b/>
          <w:color w:val="auto"/>
          <w:highlight w:val="none"/>
        </w:rPr>
      </w:pPr>
      <w:r/>
      <w:bookmarkStart w:id="139" w:name="_Toc426469881"/>
      <w:r>
        <w:rPr>
          <w:rFonts w:hint="eastAsia" w:ascii="宋体" w:hAnsi="宋体" w:eastAsia="宋体" w:cs="宋体"/>
          <w:b/>
          <w:color w:val="auto"/>
          <w:highlight w:val="none"/>
        </w:rPr>
        <w:t xml:space="preserve">1.8偏离</w:t>
      </w:r>
      <w:bookmarkEnd w:id="139"/>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1.8.1偏离是指投标文件中的内容与招标文件中规定的技术参数、标准、服务要求等不一致的情形。优于招标文件规定的技术参数、标准、服务要求的为正偏离，反之为负偏离。</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1.8.2偏离的具体要求见供应商须知前附表。</w:t>
      </w:r>
      <w:r/>
    </w:p>
    <w:p>
      <w:pPr>
        <w:spacing w:line="490" w:lineRule="exact"/>
        <w:rPr>
          <w:rFonts w:hint="eastAsia" w:ascii="宋体" w:hAnsi="宋体" w:eastAsia="宋体" w:cs="宋体"/>
          <w:color w:val="auto"/>
          <w:highlight w:val="none"/>
        </w:rPr>
        <w:outlineLvl w:val="1"/>
      </w:pPr>
      <w:r/>
      <w:bookmarkStart w:id="140" w:name="_Toc383438604"/>
      <w:r/>
      <w:bookmarkStart w:id="141" w:name="_Toc426469882"/>
      <w:r/>
      <w:bookmarkStart w:id="142" w:name="_Toc343525517"/>
      <w:r/>
      <w:bookmarkStart w:id="143" w:name="_Toc17202"/>
      <w:r>
        <w:rPr>
          <w:rFonts w:hint="eastAsia" w:ascii="宋体" w:hAnsi="宋体" w:eastAsia="宋体" w:cs="宋体"/>
          <w:color w:val="auto"/>
          <w:highlight w:val="none"/>
        </w:rPr>
        <w:t xml:space="preserve">2. 招标文件</w:t>
      </w:r>
      <w:bookmarkEnd w:id="140"/>
      <w:r/>
      <w:bookmarkEnd w:id="141"/>
      <w:r/>
      <w:bookmarkEnd w:id="142"/>
      <w:r/>
      <w:bookmarkEnd w:id="143"/>
      <w:r/>
      <w:r/>
    </w:p>
    <w:p>
      <w:pPr>
        <w:spacing w:line="490" w:lineRule="exact"/>
        <w:rPr>
          <w:rFonts w:hint="eastAsia" w:ascii="宋体" w:hAnsi="宋体" w:eastAsia="宋体" w:cs="宋体"/>
          <w:b/>
          <w:color w:val="auto"/>
          <w:highlight w:val="none"/>
        </w:rPr>
      </w:pPr>
      <w:r/>
      <w:bookmarkStart w:id="144" w:name="_Toc246996931"/>
      <w:r/>
      <w:bookmarkStart w:id="145" w:name="_Toc426469883"/>
      <w:r/>
      <w:bookmarkStart w:id="146" w:name="_Toc152042319"/>
      <w:r/>
      <w:bookmarkStart w:id="147" w:name="_Toc152045543"/>
      <w:r/>
      <w:bookmarkStart w:id="148" w:name="_Toc179632561"/>
      <w:r/>
      <w:bookmarkStart w:id="149" w:name="_Toc247085702"/>
      <w:r/>
      <w:bookmarkStart w:id="150" w:name="_Toc383438605"/>
      <w:r/>
      <w:bookmarkStart w:id="151" w:name="_Toc343525518"/>
      <w:r/>
      <w:bookmarkStart w:id="152" w:name="_Toc144974511"/>
      <w:r/>
      <w:bookmarkStart w:id="153" w:name="_Toc246996188"/>
      <w:r>
        <w:rPr>
          <w:rFonts w:hint="eastAsia" w:ascii="宋体" w:hAnsi="宋体" w:eastAsia="宋体" w:cs="宋体"/>
          <w:b/>
          <w:color w:val="auto"/>
          <w:highlight w:val="none"/>
        </w:rPr>
        <w:t xml:space="preserve">2.1 招标文件的组成</w:t>
      </w:r>
      <w:bookmarkEnd w:id="144"/>
      <w:r/>
      <w:bookmarkEnd w:id="145"/>
      <w:r/>
      <w:bookmarkEnd w:id="146"/>
      <w:r/>
      <w:bookmarkEnd w:id="147"/>
      <w:r/>
      <w:bookmarkEnd w:id="148"/>
      <w:r/>
      <w:bookmarkEnd w:id="149"/>
      <w:r/>
      <w:bookmarkEnd w:id="150"/>
      <w:r/>
      <w:bookmarkEnd w:id="151"/>
      <w:r/>
      <w:bookmarkEnd w:id="152"/>
      <w:r/>
      <w:bookmarkEnd w:id="153"/>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 本招标文件包括：</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（2）供应商须知；</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（3）评标办法；</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（4）合同条款及格式；</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（5）采购需求； </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（6）投标文件的编制要求及参考格式；</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（7）供应商须知前附表规定的构成招标文件的其他材料。</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2.1.2根据本章第2.2款和第2.3款对招标文件所作的澄清、修改，构成招标文件的组成部分。</w:t>
      </w:r>
      <w:r/>
    </w:p>
    <w:p>
      <w:pPr>
        <w:spacing w:line="490" w:lineRule="exact"/>
        <w:rPr>
          <w:rFonts w:hint="eastAsia" w:ascii="宋体" w:hAnsi="宋体" w:eastAsia="宋体" w:cs="宋体"/>
          <w:b/>
          <w:color w:val="auto"/>
          <w:highlight w:val="none"/>
        </w:rPr>
      </w:pPr>
      <w:r/>
      <w:bookmarkStart w:id="154" w:name="_Toc247085703"/>
      <w:r/>
      <w:bookmarkStart w:id="155" w:name="_Toc179632562"/>
      <w:r/>
      <w:bookmarkStart w:id="156" w:name="_Toc426469884"/>
      <w:r/>
      <w:bookmarkStart w:id="157" w:name="_Toc152045544"/>
      <w:r/>
      <w:bookmarkStart w:id="158" w:name="_Toc144974512"/>
      <w:r/>
      <w:bookmarkStart w:id="159" w:name="_Toc246996932"/>
      <w:r/>
      <w:bookmarkStart w:id="160" w:name="_Toc152042320"/>
      <w:r/>
      <w:bookmarkStart w:id="161" w:name="_Toc383438606"/>
      <w:r/>
      <w:bookmarkStart w:id="162" w:name="_Toc246996189"/>
      <w:r/>
      <w:bookmarkStart w:id="163" w:name="_Toc343525519"/>
      <w:r>
        <w:rPr>
          <w:rFonts w:hint="eastAsia" w:ascii="宋体" w:hAnsi="宋体" w:eastAsia="宋体" w:cs="宋体"/>
          <w:b/>
          <w:color w:val="auto"/>
          <w:highlight w:val="none"/>
        </w:rPr>
        <w:t xml:space="preserve">2.2 招标文件的澄清</w:t>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b/>
          <w:color w:val="auto"/>
          <w:highlight w:val="none"/>
        </w:rPr>
        <w:t xml:space="preserve"> </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hint="eastAsia" w:ascii="宋体" w:hAnsi="宋体" w:eastAsia="宋体" w:cs="宋体"/>
          <w:b/>
          <w:color w:val="auto"/>
          <w:highlight w:val="none"/>
        </w:rPr>
      </w:pPr>
      <w:r/>
      <w:bookmarkStart w:id="164" w:name="_Toc426469885"/>
      <w:r/>
      <w:bookmarkStart w:id="165" w:name="_Toc343525520"/>
      <w:r/>
      <w:bookmarkStart w:id="166" w:name="_Toc152042321"/>
      <w:r/>
      <w:bookmarkStart w:id="167" w:name="_Toc179632563"/>
      <w:r/>
      <w:bookmarkStart w:id="168" w:name="_Toc246996190"/>
      <w:r/>
      <w:bookmarkStart w:id="169" w:name="_Toc246996933"/>
      <w:r/>
      <w:bookmarkStart w:id="170" w:name="_Toc144974513"/>
      <w:r/>
      <w:bookmarkStart w:id="171" w:name="_Toc152045545"/>
      <w:r/>
      <w:bookmarkStart w:id="172" w:name="_Toc383438607"/>
      <w:r/>
      <w:bookmarkStart w:id="173" w:name="_Toc247085704"/>
      <w:r>
        <w:rPr>
          <w:rFonts w:hint="eastAsia" w:ascii="宋体" w:hAnsi="宋体" w:eastAsia="宋体" w:cs="宋体"/>
          <w:b/>
          <w:color w:val="auto"/>
          <w:highlight w:val="none"/>
        </w:rPr>
        <w:t xml:space="preserve">2.3 招标文件的修改</w:t>
      </w:r>
      <w:bookmarkEnd w:id="164"/>
      <w:r/>
      <w:bookmarkEnd w:id="165"/>
      <w:r/>
      <w:bookmarkEnd w:id="166"/>
      <w:r/>
      <w:bookmarkEnd w:id="167"/>
      <w:r/>
      <w:bookmarkEnd w:id="168"/>
      <w:r/>
      <w:bookmarkEnd w:id="169"/>
      <w:r/>
      <w:bookmarkEnd w:id="170"/>
      <w:r/>
      <w:bookmarkEnd w:id="171"/>
      <w:r/>
      <w:bookmarkEnd w:id="172"/>
      <w:r/>
      <w:bookmarkEnd w:id="173"/>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2.4招标文件的重新发布</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招标文件的澄清或修改涉及到申请人的资格条件、评标办法、采购需求等实质性内容时，将重新发布招标公告。</w:t>
      </w:r>
      <w:r/>
    </w:p>
    <w:p>
      <w:pPr>
        <w:spacing w:line="490" w:lineRule="exact"/>
        <w:rPr>
          <w:rFonts w:hint="eastAsia" w:ascii="宋体" w:hAnsi="宋体" w:eastAsia="宋体" w:cs="宋体"/>
          <w:b/>
          <w:color w:val="auto"/>
          <w:highlight w:val="none"/>
        </w:rPr>
        <w:outlineLvl w:val="1"/>
      </w:pPr>
      <w:r/>
      <w:bookmarkStart w:id="174" w:name="_Toc246996191"/>
      <w:r/>
      <w:bookmarkStart w:id="175" w:name="_Toc247085705"/>
      <w:r/>
      <w:bookmarkStart w:id="176" w:name="_Toc246996934"/>
      <w:r/>
      <w:bookmarkStart w:id="177" w:name="_Toc152042322"/>
      <w:r/>
      <w:bookmarkStart w:id="178" w:name="_Toc152045546"/>
      <w:r/>
      <w:bookmarkStart w:id="179" w:name="_Toc144974514"/>
      <w:r/>
      <w:bookmarkStart w:id="180" w:name="_Toc343525522"/>
      <w:r/>
      <w:bookmarkStart w:id="181" w:name="_Toc383438609"/>
      <w:r/>
      <w:bookmarkStart w:id="182" w:name="_Toc179632564"/>
      <w:r/>
      <w:bookmarkStart w:id="183" w:name="_Toc426469887"/>
      <w:r/>
      <w:bookmarkStart w:id="184" w:name="_Toc23132"/>
      <w:r>
        <w:rPr>
          <w:rFonts w:hint="eastAsia" w:ascii="宋体" w:hAnsi="宋体" w:eastAsia="宋体" w:cs="宋体"/>
          <w:b/>
          <w:color w:val="auto"/>
          <w:highlight w:val="none"/>
        </w:rPr>
        <w:t xml:space="preserve">3. 投标</w:t>
      </w:r>
      <w:bookmarkEnd w:id="174"/>
      <w:r/>
      <w:bookmarkEnd w:id="175"/>
      <w:r/>
      <w:bookmarkEnd w:id="176"/>
      <w:r/>
      <w:bookmarkEnd w:id="177"/>
      <w:r/>
      <w:bookmarkEnd w:id="178"/>
      <w:r/>
      <w:bookmarkEnd w:id="179"/>
      <w:r/>
      <w:bookmarkEnd w:id="180"/>
      <w:r/>
      <w:bookmarkEnd w:id="181"/>
      <w:r/>
      <w:bookmarkEnd w:id="182"/>
      <w:r>
        <w:rPr>
          <w:rFonts w:hint="eastAsia" w:ascii="宋体" w:hAnsi="宋体" w:eastAsia="宋体" w:cs="宋体"/>
          <w:b/>
          <w:color w:val="auto"/>
          <w:highlight w:val="none"/>
        </w:rPr>
        <w:t xml:space="preserve">文件</w:t>
      </w:r>
      <w:bookmarkEnd w:id="183"/>
      <w:r/>
      <w:bookmarkEnd w:id="184"/>
      <w:r/>
      <w:r/>
    </w:p>
    <w:p>
      <w:pPr>
        <w:spacing w:line="490" w:lineRule="exact"/>
        <w:rPr>
          <w:rFonts w:hint="eastAsia" w:ascii="宋体" w:hAnsi="宋体" w:eastAsia="宋体" w:cs="宋体"/>
          <w:b/>
          <w:color w:val="auto"/>
          <w:highlight w:val="none"/>
        </w:rPr>
      </w:pPr>
      <w:r/>
      <w:bookmarkStart w:id="185" w:name="_Toc152042323"/>
      <w:r/>
      <w:bookmarkStart w:id="186" w:name="_Toc246996192"/>
      <w:r/>
      <w:bookmarkStart w:id="187" w:name="_Toc343525523"/>
      <w:r/>
      <w:bookmarkStart w:id="188" w:name="_Toc179632565"/>
      <w:r/>
      <w:bookmarkStart w:id="189" w:name="_Toc144974515"/>
      <w:r/>
      <w:bookmarkStart w:id="190" w:name="_Toc152045547"/>
      <w:r/>
      <w:bookmarkStart w:id="191" w:name="_Toc246996935"/>
      <w:r/>
      <w:bookmarkStart w:id="192" w:name="_Toc247085706"/>
      <w:r/>
      <w:bookmarkStart w:id="193" w:name="_Toc383438610"/>
      <w:r/>
      <w:bookmarkStart w:id="194" w:name="_Toc426469888"/>
      <w:r>
        <w:rPr>
          <w:rFonts w:hint="eastAsia" w:ascii="宋体" w:hAnsi="宋体" w:eastAsia="宋体" w:cs="宋体"/>
          <w:b/>
          <w:color w:val="auto"/>
          <w:highlight w:val="none"/>
        </w:rPr>
        <w:t xml:space="preserve">3.1</w:t>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b/>
          <w:color w:val="auto"/>
          <w:highlight w:val="none"/>
        </w:rPr>
        <w:t xml:space="preserve">投标文件的组成</w:t>
      </w:r>
      <w:bookmarkEnd w:id="194"/>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投标文件的组成：见供应商须知前附表。</w:t>
      </w:r>
      <w:r/>
    </w:p>
    <w:p>
      <w:pPr>
        <w:spacing w:line="490" w:lineRule="exact"/>
        <w:rPr>
          <w:rFonts w:hint="eastAsia" w:ascii="宋体" w:hAnsi="宋体" w:eastAsia="宋体" w:cs="宋体"/>
          <w:b/>
          <w:color w:val="auto"/>
          <w:highlight w:val="none"/>
        </w:rPr>
      </w:pPr>
      <w:r/>
      <w:bookmarkStart w:id="195" w:name="_Toc367785004"/>
      <w:r/>
      <w:bookmarkStart w:id="196" w:name="_Toc426469889"/>
      <w:r>
        <w:rPr>
          <w:rFonts w:hint="eastAsia" w:ascii="宋体" w:hAnsi="宋体" w:eastAsia="宋体" w:cs="宋体"/>
          <w:b/>
          <w:color w:val="auto"/>
          <w:highlight w:val="none"/>
        </w:rPr>
        <w:t xml:space="preserve">3.2</w:t>
      </w:r>
      <w:bookmarkEnd w:id="195"/>
      <w:r>
        <w:rPr>
          <w:rFonts w:hint="eastAsia" w:ascii="宋体" w:hAnsi="宋体" w:eastAsia="宋体" w:cs="宋体"/>
          <w:b/>
          <w:color w:val="auto"/>
          <w:highlight w:val="none"/>
        </w:rPr>
        <w:t xml:space="preserve">投标报价</w:t>
      </w:r>
      <w:bookmarkEnd w:id="196"/>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3.2.1供应商应按招标文件规定的供货及服务要求、责任范围和合同条件，以人民币进行报价。</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3.2.2供应商在投标文件中只能有一个投标报价，且不得超过招标公告中载明的最高限价。任何包含价格调整要求和条件的投标报价均将视为无效报价。</w:t>
      </w:r>
      <w:r/>
    </w:p>
    <w:p>
      <w:pPr>
        <w:spacing w:line="490" w:lineRule="exact"/>
        <w:rPr>
          <w:rFonts w:hint="eastAsia" w:ascii="宋体" w:hAnsi="宋体" w:eastAsia="宋体" w:cs="宋体"/>
          <w:b/>
          <w:color w:val="auto"/>
          <w:highlight w:val="none"/>
        </w:rPr>
      </w:pPr>
      <w:r/>
      <w:bookmarkStart w:id="197" w:name="_Toc152042325"/>
      <w:r/>
      <w:bookmarkStart w:id="198" w:name="_Toc383438612"/>
      <w:r/>
      <w:bookmarkStart w:id="199" w:name="_Toc246996194"/>
      <w:r/>
      <w:bookmarkStart w:id="200" w:name="_Toc144974517"/>
      <w:r/>
      <w:bookmarkStart w:id="201" w:name="_Toc343525525"/>
      <w:r/>
      <w:bookmarkStart w:id="202" w:name="_Toc426469890"/>
      <w:r/>
      <w:bookmarkStart w:id="203" w:name="_Toc247085708"/>
      <w:r/>
      <w:bookmarkStart w:id="204" w:name="_Toc152045549"/>
      <w:r/>
      <w:bookmarkStart w:id="205" w:name="_Toc246996937"/>
      <w:r/>
      <w:bookmarkStart w:id="206" w:name="_Toc179632567"/>
      <w:r>
        <w:rPr>
          <w:rFonts w:hint="eastAsia" w:ascii="宋体" w:hAnsi="宋体" w:eastAsia="宋体" w:cs="宋体"/>
          <w:b/>
          <w:color w:val="auto"/>
          <w:highlight w:val="none"/>
        </w:rPr>
        <w:t xml:space="preserve">3.3投标有效期</w:t>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3.3.1在供应商须知前附表规定的投标有效期内，供应商不得要求撤销或修改其投标文件。</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3.3.2出现特殊情况需要延长投标有效期的，招标人将以书面形式通知供应商。供应商拒绝延长投标有效期的，其投标失效。</w:t>
      </w:r>
      <w:r/>
    </w:p>
    <w:p>
      <w:pPr>
        <w:spacing w:line="490" w:lineRule="exact"/>
        <w:rPr>
          <w:rFonts w:hint="eastAsia" w:ascii="宋体" w:hAnsi="宋体" w:eastAsia="宋体" w:cs="宋体"/>
          <w:b/>
          <w:color w:val="auto"/>
          <w:highlight w:val="none"/>
        </w:rPr>
      </w:pPr>
      <w:r/>
      <w:bookmarkStart w:id="207" w:name="_Toc426469892"/>
      <w:r>
        <w:rPr>
          <w:rFonts w:hint="eastAsia" w:ascii="宋体" w:hAnsi="宋体" w:eastAsia="宋体" w:cs="宋体"/>
          <w:b/>
          <w:color w:val="auto"/>
          <w:highlight w:val="none"/>
        </w:rPr>
        <w:t xml:space="preserve">3.4投标文件的编制</w:t>
      </w:r>
      <w:bookmarkEnd w:id="207"/>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3.4.2供应商应对招标文件中的资格要求、服务期限、投标有效期等实质性内容作出响应，并根据评审因素提供相应的证明材料。</w:t>
      </w:r>
      <w:r/>
    </w:p>
    <w:p>
      <w:pPr>
        <w:ind w:firstLine="480"/>
        <w:spacing w:line="49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3.4.3 投标文件的数量：见供应商须知前附表</w:t>
      </w:r>
      <w:r/>
    </w:p>
    <w:p>
      <w:pPr>
        <w:ind w:firstLine="480"/>
        <w:spacing w:line="490" w:lineRule="exact"/>
        <w:rPr>
          <w:rFonts w:hint="eastAsia" w:ascii="宋体" w:hAnsi="宋体" w:eastAsia="宋体" w:cs="宋体"/>
          <w:color w:val="auto"/>
          <w:highlight w:val="none"/>
        </w:rPr>
      </w:pPr>
      <w:r/>
      <w:bookmarkStart w:id="208" w:name="_Toc426469894"/>
      <w:r/>
      <w:bookmarkStart w:id="209" w:name="_Toc367785016"/>
      <w:r>
        <w:rPr>
          <w:rFonts w:hint="eastAsia" w:ascii="宋体" w:hAnsi="宋体" w:eastAsia="宋体" w:cs="宋体"/>
          <w:color w:val="auto"/>
          <w:highlight w:val="none"/>
        </w:rPr>
        <w:t xml:space="preserve">3.4.4投标文件的签署：见供应商须知前附表</w:t>
      </w:r>
      <w:bookmarkEnd w:id="78"/>
      <w:bookmarkEnd w:id="208"/>
      <w:bookmarkEnd w:id="209"/>
      <w:r/>
    </w:p>
    <w:p>
      <w:pPr>
        <w:spacing w:line="490" w:lineRule="exact"/>
        <w:rPr>
          <w:rFonts w:hint="eastAsia" w:ascii="宋体" w:hAnsi="宋体" w:eastAsia="宋体" w:cs="宋体"/>
          <w:color w:val="auto"/>
          <w:highlight w:val="none"/>
        </w:rPr>
        <w:outlineLvl w:val="1"/>
      </w:pPr>
      <w:r/>
      <w:bookmarkStart w:id="210" w:name="_Toc5531"/>
      <w:r/>
      <w:bookmarkStart w:id="211" w:name="_Toc390098841"/>
      <w:r/>
      <w:bookmarkStart w:id="212" w:name="_Toc383438646"/>
      <w:r/>
      <w:bookmarkStart w:id="213" w:name="_Toc247085745"/>
      <w:r/>
      <w:bookmarkStart w:id="214" w:name="_Toc179632605"/>
      <w:r/>
      <w:bookmarkStart w:id="215" w:name="_Toc246996230"/>
      <w:r/>
      <w:bookmarkStart w:id="216" w:name="_Toc383587457"/>
      <w:r/>
      <w:bookmarkStart w:id="217" w:name="_Toc390246906"/>
      <w:r/>
      <w:bookmarkStart w:id="218" w:name="_Toc152045587"/>
      <w:r/>
      <w:bookmarkStart w:id="219" w:name="_Toc152042364"/>
      <w:r/>
      <w:bookmarkStart w:id="220" w:name="_Toc144974554"/>
      <w:r/>
      <w:bookmarkStart w:id="221" w:name="_Toc383625994"/>
      <w:r/>
      <w:bookmarkStart w:id="222" w:name="_Toc383679747"/>
      <w:r/>
      <w:bookmarkStart w:id="223" w:name="_Toc383623945"/>
      <w:r/>
      <w:bookmarkStart w:id="224" w:name="_Toc246996973"/>
      <w:r/>
      <w:bookmarkStart w:id="225" w:name="_Toc383623673"/>
      <w:r/>
      <w:bookmarkStart w:id="226" w:name="_Toc343525562"/>
      <w:r/>
      <w:bookmarkStart w:id="227" w:name="_Toc383698648"/>
      <w:r/>
      <w:bookmarkStart w:id="228" w:name="_Toc390099019"/>
      <w:r>
        <w:rPr>
          <w:rFonts w:hint="eastAsia" w:ascii="宋体" w:hAnsi="宋体" w:eastAsia="宋体" w:cs="宋体"/>
          <w:color w:val="auto"/>
          <w:highlight w:val="none"/>
        </w:rPr>
        <w:t xml:space="preserve">4.投标</w:t>
      </w:r>
      <w:bookmarkEnd w:id="210"/>
      <w:r/>
      <w:r/>
    </w:p>
    <w:p>
      <w:pPr>
        <w:spacing w:line="49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4.1</w:t>
      </w:r>
      <w:r>
        <w:rPr>
          <w:rFonts w:hint="eastAsia" w:ascii="宋体" w:hAnsi="宋体" w:eastAsia="宋体" w:cs="宋体"/>
          <w:b/>
          <w:bCs/>
          <w:color w:val="auto"/>
          <w:sz w:val="24"/>
          <w:szCs w:val="24"/>
          <w:highlight w:val="none"/>
        </w:rPr>
        <w:t xml:space="preserve">投标文件的上传</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4.2投标文件的修改与撤回</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4.2.1在投标截止时间前，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可以修改或撤回已递交的投标文件。具体操作方法见《江苏省政府采购管理交易系统（苏采云）供应商操作手册》。</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4.2.2修改的投标文件应按照本招标文件规定进行编制和重新上传。</w:t>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4.3投标文件的确认</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可以通过江苏省政府采购管理交易系统（苏采云）多次上传投标文件，以招标文件规定的投标截止时间前，江苏省政府采购管理交易系统（苏采云）接受到的最后一份投标文件为准。</w:t>
      </w:r>
      <w:bookmarkEnd w:id="35"/>
      <w:bookmarkEnd w:id="36"/>
      <w:bookmarkEnd w:id="37"/>
      <w:bookmarkEnd w:id="38"/>
      <w:bookmarkEnd w:id="39"/>
      <w:bookmarkEnd w:id="40"/>
      <w:bookmarkEnd w:id="41"/>
      <w:bookmarkEnd w:id="42"/>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p>
    <w:p>
      <w:pPr>
        <w:spacing w:line="490" w:lineRule="exact"/>
        <w:rPr>
          <w:rFonts w:hint="eastAsia" w:ascii="宋体" w:hAnsi="宋体" w:eastAsia="宋体" w:cs="宋体"/>
          <w:color w:val="auto"/>
          <w:sz w:val="24"/>
          <w:szCs w:val="24"/>
          <w:highlight w:val="none"/>
        </w:rPr>
        <w:outlineLvl w:val="1"/>
      </w:pPr>
      <w:r/>
      <w:bookmarkStart w:id="229" w:name="_Toc1500"/>
      <w:r>
        <w:rPr>
          <w:rFonts w:hint="eastAsia" w:ascii="宋体" w:hAnsi="宋体" w:eastAsia="宋体" w:cs="宋体"/>
          <w:color w:val="auto"/>
          <w:sz w:val="24"/>
          <w:szCs w:val="24"/>
          <w:highlight w:val="none"/>
        </w:rPr>
        <w:t xml:space="preserve">5. 开标</w:t>
      </w:r>
      <w:bookmarkEnd w:id="229"/>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5.1 开标时间和地点</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5.1.1开标时间和地点：见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须知前附表。</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5.1.2开标活动在江苏政府采购“苏采云”系统“开标大厅”内公开进行，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应当按照《江苏省政府采购管理交易系统（苏采云）供应商操作手册》规定，参加开标活动。</w:t>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5.2 不见面开标程序</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（1）系统登录。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应在投标截止时间前登录开标大厅。</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解密投标文件。按照系统内提示，在规定的时间内完成投标文件的解密。</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（3）唱标。</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（4）开标记录确认。</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（5）开标结束。</w:t>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5.3特殊情况的处置</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5.3.1在投标截止时间后，开标系统出现下列情况之一时，项目未开标的，暂停开标活动；正在开标的，立即暂停开标，待系统恢复正常后再组织开标。</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（1）系统服务器发生故障，无法访问或无法使用系统； </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（2）系统的软件或数据库出现错误，不能进行正常操作； </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（3）系统发现有安全漏洞，有潜在的泄密危险； </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（4）其他无法保证招投标过程公平和信息安全的情形。</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5.3.2因供应商自身原因造成投标文件无法解密的，视为撤销投标文件。</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5.3.3供应商对开标过程和开标记录有疑义的，可向招标人或者采购代理机构提出。</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5.3.4供应商未在开标系统中确认开标结果的，视同认可开标结果。</w:t>
      </w:r>
      <w:r/>
    </w:p>
    <w:p>
      <w:pPr>
        <w:spacing w:line="490" w:lineRule="exact"/>
        <w:rPr>
          <w:rFonts w:hint="eastAsia" w:ascii="宋体" w:hAnsi="宋体" w:eastAsia="宋体" w:cs="宋体"/>
          <w:color w:val="auto"/>
          <w:sz w:val="24"/>
          <w:szCs w:val="24"/>
          <w:highlight w:val="none"/>
        </w:rPr>
        <w:outlineLvl w:val="1"/>
      </w:pPr>
      <w:r/>
      <w:bookmarkStart w:id="230" w:name="_Toc8845"/>
      <w:r>
        <w:rPr>
          <w:rFonts w:hint="eastAsia" w:ascii="宋体" w:hAnsi="宋体" w:eastAsia="宋体" w:cs="宋体"/>
          <w:color w:val="auto"/>
          <w:sz w:val="24"/>
          <w:szCs w:val="24"/>
          <w:highlight w:val="none"/>
        </w:rPr>
        <w:t xml:space="preserve">6. 评标</w:t>
      </w:r>
      <w:bookmarkEnd w:id="230"/>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 评标委员会</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6.1.1评标由招标人依法组建的评标委员会负责。评标委员会由招标人代表，以及有关技术、经济等方面的专家组成。具体人数见供应商须知前附表。</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6.1.2评标委员会成员有下列情形之一的，应当回避：</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（1）参加采购活动前三年内,与供应商存在劳动关系,或者担任过供应商的董事、监事,或者是供应商的控股股东或实际控制人；</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（2）与供应商的法定代表人或者负责人有夫妻、直系血亲、三代以内旁系血亲或者近姻亲关系；</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（3）与供应商有其他可能影响政府采购活动公平、公正进行的关系；</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（4）法律、行政法规规定的其他条件。</w:t>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6.2 评标</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评标活动遵循公正、客观、审慎的原则。</w:t>
      </w:r>
      <w:r>
        <w:rPr>
          <w:rFonts w:hint="eastAsia" w:ascii="宋体" w:hAnsi="宋体" w:eastAsia="宋体" w:cs="宋体"/>
          <w:color w:val="auto"/>
          <w:sz w:val="24"/>
          <w:szCs w:val="24"/>
          <w:highlight w:val="none"/>
        </w:rPr>
        <w:t xml:space="preserve">评标委员会严格按照第三章“评标办法”规定的评标方法、评标程序和评标标准进行独立评审。第三章“评标办法”没有规定的评标标准，不得作为评标依据。</w:t>
      </w:r>
      <w:r/>
    </w:p>
    <w:p>
      <w:pPr>
        <w:spacing w:line="490" w:lineRule="exact"/>
        <w:rPr>
          <w:rFonts w:hint="eastAsia" w:ascii="宋体" w:hAnsi="宋体" w:eastAsia="宋体" w:cs="宋体"/>
          <w:color w:val="auto"/>
          <w:sz w:val="24"/>
          <w:szCs w:val="24"/>
          <w:highlight w:val="none"/>
        </w:rPr>
        <w:outlineLvl w:val="1"/>
      </w:pPr>
      <w:r/>
      <w:bookmarkStart w:id="231" w:name="_Toc18890"/>
      <w:r>
        <w:rPr>
          <w:rFonts w:hint="eastAsia" w:ascii="宋体" w:hAnsi="宋体" w:eastAsia="宋体" w:cs="宋体"/>
          <w:color w:val="auto"/>
          <w:sz w:val="24"/>
          <w:szCs w:val="24"/>
          <w:highlight w:val="none"/>
        </w:rPr>
        <w:t xml:space="preserve">7.中标</w:t>
      </w:r>
      <w:bookmarkEnd w:id="231"/>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7.1确定中标人</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7.1.1自收到评标报告之日起５个工作日内，在评标报告确定的中标候选人名单中按顺序确定中标人。</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（1）因不可抗力或者自身原因不能履行合同的；</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（2）经过财政部门处理投诉举报、监督检查，认定中标无效的；</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（3）拒绝与招标人签订合同的。</w:t>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7.2中标公告及中标通知书</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7.2.1自中标人确定之日起2个工作日内，在供应商须知前附表规定的媒介上公告中标结果，公告期限为1个工作日。</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7.2.2在公告中标结果的同时，向中标人发出中标通知书。中标通知书对招标人和中标人具有同等法律效力。  </w:t>
      </w:r>
      <w:r/>
    </w:p>
    <w:p>
      <w:pPr>
        <w:spacing w:line="490" w:lineRule="exact"/>
        <w:rPr>
          <w:rFonts w:hint="eastAsia" w:ascii="宋体" w:hAnsi="宋体" w:eastAsia="宋体" w:cs="宋体"/>
          <w:color w:val="auto"/>
          <w:sz w:val="24"/>
          <w:szCs w:val="24"/>
          <w:highlight w:val="none"/>
        </w:rPr>
        <w:outlineLvl w:val="1"/>
      </w:pPr>
      <w:r/>
      <w:bookmarkStart w:id="232" w:name="_Toc19222"/>
      <w:r>
        <w:rPr>
          <w:rFonts w:hint="eastAsia" w:ascii="宋体" w:hAnsi="宋体" w:eastAsia="宋体" w:cs="宋体"/>
          <w:color w:val="auto"/>
          <w:sz w:val="24"/>
          <w:szCs w:val="24"/>
          <w:highlight w:val="none"/>
        </w:rPr>
        <w:t xml:space="preserve">8.合同</w:t>
      </w:r>
      <w:bookmarkEnd w:id="232"/>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8.1 履约保证金</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8.1.1中标人应按供应商须知前附表规定的履约保证金的形式、金额和提交时间向招标人提交履约保证金。</w:t>
      </w:r>
      <w:r/>
    </w:p>
    <w:p>
      <w:pPr>
        <w:ind w:firstLine="480"/>
        <w:spacing w:line="49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8.1.2中标人不能按本招标文件要求提交履约保证金的，视为放弃中标，给招标人造成损失的，中标人还应当予以赔偿。</w:t>
      </w:r>
      <w:r/>
    </w:p>
    <w:p>
      <w:pPr>
        <w:spacing w:line="49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8.2签订合同</w:t>
      </w:r>
      <w:r/>
    </w:p>
    <w:p>
      <w:pPr>
        <w:ind w:firstLine="48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hint="eastAsia" w:ascii="宋体" w:hAnsi="宋体" w:eastAsia="宋体" w:cs="宋体"/>
          <w:color w:val="auto"/>
          <w:sz w:val="24"/>
          <w:szCs w:val="24"/>
          <w:highlight w:val="none"/>
        </w:rPr>
        <w:outlineLvl w:val="1"/>
      </w:pPr>
      <w:r/>
      <w:bookmarkStart w:id="233" w:name="_Toc21848"/>
      <w:r>
        <w:rPr>
          <w:rFonts w:hint="eastAsia" w:ascii="宋体" w:hAnsi="宋体" w:eastAsia="宋体" w:cs="宋体"/>
          <w:color w:val="auto"/>
          <w:sz w:val="24"/>
          <w:szCs w:val="24"/>
          <w:highlight w:val="none"/>
        </w:rPr>
        <w:t xml:space="preserve">9. 需要补充的其他内容</w:t>
      </w:r>
      <w:bookmarkEnd w:id="233"/>
      <w:r/>
      <w:r/>
    </w:p>
    <w:p>
      <w:pPr>
        <w:ind w:firstLine="480"/>
        <w:spacing w:line="490" w:lineRule="exact"/>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需要补充的其他内容：见供应商须知前附表。</w:t>
      </w:r>
      <w:bookmarkStart w:id="234" w:name="_Hlt26955064"/>
      <w:r/>
      <w:bookmarkEnd w:id="234"/>
      <w:r/>
      <w:bookmarkStart w:id="235" w:name="_Hlt26671343"/>
      <w:r/>
      <w:bookmarkEnd w:id="235"/>
      <w:r/>
      <w:bookmarkStart w:id="236" w:name="_Hlt26580838"/>
      <w:r/>
      <w:bookmarkEnd w:id="236"/>
      <w:r/>
      <w:bookmarkStart w:id="237" w:name="_Hlt26671372"/>
      <w:r/>
      <w:bookmarkEnd w:id="237"/>
      <w:r/>
      <w:bookmarkStart w:id="238" w:name="_Hlt26782999"/>
      <w:r/>
      <w:bookmarkEnd w:id="238"/>
      <w:r/>
      <w:bookmarkStart w:id="239" w:name="_Hlt26955056"/>
      <w:r/>
      <w:bookmarkEnd w:id="239"/>
      <w:r/>
      <w:bookmarkStart w:id="240" w:name="_Hlt26609391"/>
      <w:r/>
      <w:bookmarkEnd w:id="240"/>
      <w:r/>
      <w:bookmarkStart w:id="241" w:name="_Hlt24879081"/>
      <w:r/>
      <w:bookmarkEnd w:id="241"/>
      <w:r/>
      <w:r/>
    </w:p>
    <w:p>
      <w:pPr>
        <w:pStyle w:val="672"/>
        <w:ind w:left="-2" w:firstLine="643"/>
        <w:jc w:val="center"/>
        <w:spacing w:line="360" w:lineRule="exact"/>
        <w:rPr>
          <w:rFonts w:hint="eastAsia" w:ascii="宋体" w:hAnsi="宋体" w:eastAsia="宋体" w:cs="宋体"/>
          <w:b/>
          <w:color w:val="auto"/>
          <w:sz w:val="32"/>
          <w:szCs w:val="32"/>
          <w:highlight w:val="none"/>
        </w:rPr>
        <w:outlineLvl w:val="0"/>
      </w:pPr>
      <w:r/>
      <w:bookmarkStart w:id="242" w:name="_Toc29326"/>
      <w:r>
        <w:rPr>
          <w:rFonts w:hint="eastAsia" w:ascii="宋体" w:hAnsi="宋体" w:eastAsia="宋体" w:cs="宋体"/>
          <w:b/>
          <w:color w:val="auto"/>
          <w:sz w:val="32"/>
          <w:szCs w:val="32"/>
          <w:highlight w:val="none"/>
        </w:rPr>
        <w:t xml:space="preserve">第三章 资格审查及评标办法</w:t>
      </w:r>
      <w:bookmarkEnd w:id="242"/>
      <w:r/>
      <w:r/>
    </w:p>
    <w:p>
      <w:pPr>
        <w:rPr>
          <w:rFonts w:hint="eastAsia" w:ascii="宋体" w:hAnsi="宋体" w:eastAsia="宋体" w:cs="宋体"/>
          <w:color w:val="auto"/>
          <w:sz w:val="28"/>
          <w:szCs w:val="28"/>
          <w:highlight w:val="none"/>
        </w:rPr>
      </w:pPr>
      <w:r/>
      <w:bookmarkStart w:id="243" w:name="_Toc152042365"/>
      <w:r/>
      <w:bookmarkStart w:id="244" w:name="_Toc383438647"/>
      <w:r/>
      <w:bookmarkStart w:id="245" w:name="_Toc247085746"/>
      <w:r/>
      <w:bookmarkStart w:id="246" w:name="_Toc152045588"/>
      <w:r/>
      <w:bookmarkStart w:id="247" w:name="_Toc426469920"/>
      <w:r/>
      <w:bookmarkStart w:id="248" w:name="_Toc246996231"/>
      <w:r/>
      <w:bookmarkStart w:id="249" w:name="_Toc144974555"/>
      <w:r/>
      <w:bookmarkStart w:id="250" w:name="_Toc246996974"/>
      <w:r/>
      <w:bookmarkStart w:id="251" w:name="_Toc179632606"/>
      <w:r/>
      <w:bookmarkStart w:id="252" w:name="_Toc343525563"/>
      <w:r>
        <w:rPr>
          <w:rFonts w:hint="eastAsia" w:ascii="宋体" w:hAnsi="宋体" w:eastAsia="宋体" w:cs="宋体"/>
          <w:color w:val="auto"/>
          <w:sz w:val="28"/>
          <w:szCs w:val="28"/>
          <w:highlight w:val="none"/>
        </w:rPr>
        <w:t xml:space="preserve">资格审查和评标办法前附表</w:t>
      </w:r>
      <w:bookmarkEnd w:id="243"/>
      <w:r/>
      <w:bookmarkEnd w:id="244"/>
      <w:r/>
      <w:bookmarkEnd w:id="245"/>
      <w:r/>
      <w:bookmarkEnd w:id="246"/>
      <w:r/>
      <w:bookmarkEnd w:id="247"/>
      <w:r/>
      <w:bookmarkEnd w:id="248"/>
      <w:r/>
      <w:bookmarkEnd w:id="249"/>
      <w:r/>
      <w:bookmarkEnd w:id="250"/>
      <w:r/>
      <w:bookmarkEnd w:id="251"/>
      <w:r/>
      <w:bookmarkEnd w:id="252"/>
      <w:r/>
      <w:bookmarkStart w:id="253" w:name="_Toc247085747"/>
      <w:r/>
      <w:bookmarkStart w:id="254" w:name="_Toc179632607"/>
      <w:r/>
      <w:bookmarkStart w:id="255" w:name="_Toc144974556"/>
      <w:r/>
      <w:bookmarkStart w:id="256" w:name="_Toc246996975"/>
      <w:r/>
      <w:bookmarkStart w:id="257" w:name="_Toc152045589"/>
      <w:r/>
      <w:bookmarkStart w:id="258" w:name="_Toc343525564"/>
      <w:r/>
      <w:bookmarkStart w:id="259" w:name="_Toc246996232"/>
      <w:r/>
      <w:bookmarkStart w:id="260" w:name="_Toc152042366"/>
      <w:r/>
      <w:r/>
    </w:p>
    <w:tbl>
      <w:tblPr>
        <w:tblStyle w:val="638"/>
        <w:tblW w:w="8709"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666"/>
        <w:gridCol w:w="2533"/>
        <w:gridCol w:w="4964"/>
      </w:tblGrid>
      <w:tr>
        <w:trPr>
          <w:jc w:val="center"/>
          <w:trHeight w:val="409"/>
        </w:trPr>
        <w:tc>
          <w:tcPr>
            <w:gridSpan w:val="2"/>
            <w:tcBorders>
              <w:top w:val="single" w:color="auto" w:sz="6" w:space="0"/>
              <w:left w:val="single" w:color="auto" w:sz="6" w:space="0"/>
              <w:bottom w:val="single" w:color="auto" w:sz="6" w:space="0"/>
              <w:right w:val="single" w:color="auto" w:sz="6" w:space="0"/>
            </w:tcBorders>
            <w:tcW w:w="1212"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条款号</w:t>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hint="eastAsia" w:ascii="宋体" w:hAnsi="宋体" w:eastAsia="宋体" w:cs="宋体"/>
                <w:color w:val="auto"/>
                <w:spacing w:val="-40"/>
                <w:highlight w:val="none"/>
              </w:rPr>
            </w:pPr>
            <w:r>
              <w:rPr>
                <w:rFonts w:hint="eastAsia" w:ascii="宋体" w:hAnsi="宋体" w:eastAsia="宋体" w:cs="宋体"/>
                <w:color w:val="auto"/>
                <w:spacing w:val="-14"/>
                <w:highlight w:val="none"/>
              </w:rPr>
              <w:t xml:space="preserve">1.2</w:t>
            </w:r>
            <w:r/>
          </w:p>
        </w:tc>
        <w:tc>
          <w:tcPr>
            <w:tcBorders>
              <w:top w:val="single" w:color="auto" w:sz="6" w:space="0"/>
              <w:left w:val="single" w:color="auto" w:sz="6" w:space="0"/>
              <w:right w:val="single" w:color="auto" w:sz="6" w:space="0"/>
            </w:tcBorders>
            <w:tcW w:w="666"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w:t>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20" w:lineRule="exact"/>
              <w:rPr>
                <w:rFonts w:hint="eastAsia" w:ascii="宋体" w:hAnsi="宋体" w:eastAsia="宋体" w:cs="宋体"/>
                <w:color w:val="auto"/>
                <w:highlight w:val="none"/>
                <w:lang w:eastAsia="zh-CN"/>
              </w:rPr>
            </w:pPr>
            <w:r>
              <w:rPr>
                <w:rFonts w:ascii="宋体" w:hAnsi="宋体" w:eastAsia="宋体" w:cs="宋体"/>
                <w:color w:val="auto"/>
                <w:sz w:val="24"/>
                <w:szCs w:val="24"/>
              </w:rPr>
              <w:t xml:space="preserve">具有独立承担民事责任的能力</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2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提供有效的营业执照</w:t>
            </w:r>
            <w:r/>
          </w:p>
        </w:tc>
      </w:tr>
      <w:tr>
        <w:trPr>
          <w:jc w:val="center"/>
          <w:trHeight w:val="630"/>
        </w:trPr>
        <w:tc>
          <w:tcPr>
            <w:tcBorders>
              <w:left w:val="single" w:color="auto" w:sz="6" w:space="0"/>
              <w:right w:val="single" w:color="auto" w:sz="6" w:space="0"/>
            </w:tcBorders>
            <w:tcW w:w="546" w:type="dxa"/>
            <w:vAlign w:val="center"/>
            <w:vMerge w:val="continue"/>
            <w:textDirection w:val="lrTb"/>
            <w:noWrap w:val="false"/>
          </w:tcPr>
          <w:p>
            <w:pPr>
              <w:jc w:val="center"/>
              <w:spacing w:line="360" w:lineRule="exact"/>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r>
            <w:r/>
          </w:p>
        </w:tc>
        <w:tc>
          <w:tcPr>
            <w:tcBorders>
              <w:left w:val="single" w:color="auto" w:sz="6" w:space="0"/>
              <w:right w:val="single" w:color="auto" w:sz="6" w:space="0"/>
            </w:tcBorders>
            <w:tcW w:w="66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基本资格条件的承诺</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根据供应商提供的承诺函。（</w:t>
            </w:r>
            <w:r>
              <w:rPr>
                <w:rFonts w:hint="eastAsia" w:ascii="宋体" w:hAnsi="宋体" w:eastAsia="宋体" w:cs="宋体"/>
                <w:color w:val="auto"/>
                <w:highlight w:val="none"/>
                <w:lang w:eastAsia="zh-CN"/>
              </w:rPr>
              <w:t xml:space="preserve">内容完整且</w:t>
            </w:r>
            <w:r>
              <w:rPr>
                <w:rFonts w:hint="eastAsia" w:ascii="宋体" w:hAnsi="宋体" w:eastAsia="宋体" w:cs="宋体"/>
                <w:color w:val="auto"/>
                <w:highlight w:val="none"/>
                <w:lang w:val="en-US" w:eastAsia="zh-CN"/>
              </w:rPr>
              <w:t xml:space="preserve">签章完备，</w:t>
            </w:r>
            <w:r>
              <w:rPr>
                <w:rFonts w:hint="eastAsia" w:ascii="宋体" w:hAnsi="宋体" w:eastAsia="宋体" w:cs="宋体"/>
                <w:color w:val="auto"/>
                <w:highlight w:val="none"/>
              </w:rPr>
              <w:t xml:space="preserve">格式参照第六章）</w:t>
            </w:r>
            <w:r/>
          </w:p>
        </w:tc>
      </w:tr>
      <w:tr>
        <w:trPr>
          <w:jc w:val="center"/>
          <w:trHeight w:val="630"/>
        </w:trPr>
        <w:tc>
          <w:tcPr>
            <w:tcBorders>
              <w:left w:val="single" w:color="auto" w:sz="6" w:space="0"/>
              <w:right w:val="single" w:color="auto" w:sz="6" w:space="0"/>
            </w:tcBorders>
            <w:tcW w:w="546" w:type="dxa"/>
            <w:vAlign w:val="center"/>
            <w:vMerge w:val="continue"/>
            <w:textDirection w:val="lrTb"/>
            <w:noWrap w:val="false"/>
          </w:tcPr>
          <w:p>
            <w:pPr>
              <w:jc w:val="center"/>
              <w:spacing w:line="360" w:lineRule="exact"/>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r>
            <w:r/>
          </w:p>
        </w:tc>
        <w:tc>
          <w:tcPr>
            <w:tcBorders>
              <w:left w:val="single" w:color="auto" w:sz="6" w:space="0"/>
              <w:right w:val="single" w:color="auto" w:sz="6" w:space="0"/>
            </w:tcBorders>
            <w:tcW w:w="66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本项目为</w:t>
            </w:r>
            <w:r>
              <w:rPr>
                <w:rFonts w:hint="eastAsia" w:ascii="宋体" w:hAnsi="宋体" w:cs="宋体"/>
                <w:color w:val="auto"/>
                <w:highlight w:val="none"/>
                <w:lang w:val="en-US" w:eastAsia="zh-CN"/>
              </w:rPr>
              <w:t xml:space="preserve">非</w:t>
            </w:r>
            <w:r>
              <w:rPr>
                <w:rFonts w:hint="eastAsia" w:ascii="宋体" w:hAnsi="宋体" w:eastAsia="宋体" w:cs="宋体"/>
                <w:color w:val="auto"/>
                <w:highlight w:val="none"/>
              </w:rPr>
              <w:t xml:space="preserve">专门面向中小企业的项目。</w:t>
            </w:r>
            <w:r>
              <w:rPr>
                <w:rFonts w:hint="eastAsia" w:ascii="宋体" w:hAnsi="宋体" w:eastAsia="宋体" w:cs="宋体"/>
                <w:color w:val="auto"/>
                <w:highlight w:val="none"/>
                <w:lang w:eastAsia="zh-CN"/>
              </w:rPr>
              <w:t xml:space="preserve">（提供中小企业声明函，</w:t>
            </w:r>
            <w:r>
              <w:rPr>
                <w:rFonts w:hint="eastAsia" w:ascii="宋体" w:hAnsi="宋体" w:eastAsia="宋体" w:cs="宋体"/>
                <w:color w:val="auto"/>
                <w:highlight w:val="none"/>
              </w:rPr>
              <w:t xml:space="preserve">内容及格式参照第六章</w:t>
            </w:r>
            <w:r>
              <w:rPr>
                <w:rFonts w:hint="eastAsia" w:ascii="宋体" w:hAnsi="宋体" w:eastAsia="宋体" w:cs="宋体"/>
                <w:color w:val="auto"/>
                <w:highlight w:val="none"/>
                <w:lang w:eastAsia="zh-CN"/>
              </w:rPr>
              <w:t xml:space="preserve">）</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6" w:space="0"/>
              <w:right w:val="single" w:color="auto" w:sz="6" w:space="0"/>
            </w:tcBorders>
            <w:tcW w:w="666" w:type="dxa"/>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招标人根据本项目特点，要求供应商具备的条件</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投标人须具有公安部门核发的《保安服务许可证》；泰州市以外的保安服务企业须在泰州市保安主管部门备案或者提供承诺书，承诺中标后进场前在泰州市保安主管部门备案完成（提供保安服务许可证、备案证明材料或承诺书）。</w:t>
            </w:r>
            <w:r/>
          </w:p>
        </w:tc>
      </w:tr>
      <w:tr>
        <w:trPr>
          <w:jc w:val="center"/>
          <w:trHeight w:val="308"/>
        </w:trPr>
        <w:tc>
          <w:tcPr>
            <w:gridSpan w:val="4"/>
            <w:tcBorders>
              <w:top w:val="single" w:color="auto" w:sz="6" w:space="0"/>
              <w:left w:val="single" w:color="auto" w:sz="6" w:space="0"/>
              <w:bottom w:val="single" w:color="auto" w:sz="6" w:space="0"/>
              <w:right w:val="single" w:color="auto" w:sz="6" w:space="0"/>
            </w:tcBorders>
            <w:tcW w:w="8709" w:type="dxa"/>
            <w:vAlign w:val="center"/>
            <w:textDirection w:val="lrTb"/>
            <w:noWrap w:val="false"/>
          </w:tcPr>
          <w:p>
            <w:pPr>
              <w:jc w:val="center"/>
              <w:spacing w:line="460" w:lineRule="exact"/>
              <w:rPr>
                <w:rFonts w:hint="eastAsia" w:ascii="宋体" w:hAnsi="宋体" w:eastAsia="宋体" w:cs="宋体"/>
                <w:b/>
                <w:color w:val="auto"/>
                <w:spacing w:val="-14"/>
                <w:highlight w:val="none"/>
              </w:rPr>
            </w:pPr>
            <w:r>
              <w:rPr>
                <w:rFonts w:hint="eastAsia" w:ascii="宋体" w:hAnsi="宋体" w:eastAsia="宋体" w:cs="宋体"/>
                <w:b/>
                <w:color w:val="auto"/>
                <w:spacing w:val="-14"/>
                <w:highlight w:val="none"/>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spacing w:val="-14"/>
                <w:highlight w:val="none"/>
              </w:rPr>
              <w:t xml:space="preserve">2.2.2</w:t>
            </w:r>
            <w:r/>
          </w:p>
        </w:tc>
        <w:tc>
          <w:tcPr>
            <w:tcBorders>
              <w:top w:val="single" w:color="auto" w:sz="6" w:space="0"/>
              <w:left w:val="single" w:color="auto" w:sz="6" w:space="0"/>
              <w:bottom w:val="single" w:color="auto" w:sz="6" w:space="0"/>
              <w:right w:val="single" w:color="auto" w:sz="6" w:space="0"/>
            </w:tcBorders>
            <w:tcW w:w="666"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符</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合</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审</w:t>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投标文件的签署</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报价</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服务期限</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符合第二章第3.3.1项规定</w:t>
            </w:r>
            <w:r/>
          </w:p>
        </w:tc>
      </w:tr>
      <w:tr>
        <w:trPr>
          <w:jc w:val="center"/>
          <w:trHeight w:val="35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666" w:type="dxa"/>
            <w:vAlign w:val="center"/>
            <w:vMerge w:val="continue"/>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6" w:space="0"/>
              <w:left w:val="single" w:color="auto" w:sz="6" w:space="0"/>
              <w:bottom w:val="single" w:color="auto" w:sz="6" w:space="0"/>
              <w:right w:val="single" w:color="auto" w:sz="6" w:space="0"/>
            </w:tcBorders>
            <w:tcW w:w="2533"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偏离</w:t>
            </w:r>
            <w:r/>
          </w:p>
        </w:tc>
        <w:tc>
          <w:tcPr>
            <w:tcBorders>
              <w:top w:val="single" w:color="auto" w:sz="6" w:space="0"/>
              <w:left w:val="single" w:color="auto" w:sz="6" w:space="0"/>
              <w:bottom w:val="single" w:color="auto" w:sz="6" w:space="0"/>
              <w:right w:val="single" w:color="auto" w:sz="6" w:space="0"/>
            </w:tcBorders>
            <w:tcW w:w="4964" w:type="dxa"/>
            <w:vAlign w:val="center"/>
            <w:textDirection w:val="lrTb"/>
            <w:noWrap w:val="false"/>
          </w:tcPr>
          <w:p>
            <w:pPr>
              <w:jc w:val="left"/>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符合第二章“供应商须知”第1.8.2项规定</w:t>
            </w:r>
            <w:r/>
          </w:p>
        </w:tc>
      </w:tr>
      <w:tr>
        <w:trPr>
          <w:jc w:val="center"/>
          <w:trHeight w:val="378"/>
        </w:trPr>
        <w:tc>
          <w:tcPr>
            <w:gridSpan w:val="4"/>
            <w:tcBorders>
              <w:top w:val="single" w:color="auto" w:sz="6" w:space="0"/>
              <w:left w:val="single" w:color="auto" w:sz="6" w:space="0"/>
              <w:bottom w:val="single" w:color="auto" w:sz="6" w:space="0"/>
              <w:right w:val="single" w:color="auto" w:sz="6" w:space="0"/>
            </w:tcBorders>
            <w:tcW w:w="8709" w:type="dxa"/>
            <w:vAlign w:val="center"/>
            <w:textDirection w:val="lrTb"/>
            <w:noWrap w:val="false"/>
          </w:tcPr>
          <w:p>
            <w:pPr>
              <w:jc w:val="center"/>
              <w:spacing w:line="460" w:lineRule="exact"/>
              <w:rPr>
                <w:rFonts w:hint="eastAsia" w:ascii="宋体" w:hAnsi="宋体" w:eastAsia="宋体" w:cs="宋体"/>
                <w:color w:val="auto"/>
                <w:spacing w:val="-18"/>
                <w:highlight w:val="none"/>
              </w:rPr>
            </w:pPr>
            <w:r>
              <w:rPr>
                <w:rFonts w:hint="eastAsia" w:ascii="宋体" w:hAnsi="宋体" w:eastAsia="宋体" w:cs="宋体"/>
                <w:b/>
                <w:color w:val="auto"/>
                <w:spacing w:val="-14"/>
                <w:highlight w:val="none"/>
              </w:rPr>
              <w:t xml:space="preserve">2.2.2项评审内容由评标委员会负责，投标文件不符合2.2.2项评审标准的，作无效标处理。</w:t>
            </w:r>
            <w:r/>
          </w:p>
        </w:tc>
      </w:tr>
    </w:tbl>
    <w:p>
      <w:pPr>
        <w:jc w:val="left"/>
        <w:spacing w:line="500" w:lineRule="exact"/>
        <w:rPr>
          <w:rFonts w:hint="eastAsia" w:ascii="宋体" w:hAnsi="宋体" w:eastAsia="宋体" w:cs="宋体"/>
          <w:b/>
          <w:color w:val="auto"/>
          <w:highlight w:val="none"/>
        </w:rPr>
        <w:outlineLvl w:val="1"/>
      </w:pPr>
      <w:r/>
      <w:bookmarkStart w:id="261" w:name="_Toc3972"/>
      <w:r/>
      <w:bookmarkStart w:id="262" w:name="_Toc29612"/>
      <w:r/>
      <w:bookmarkStart w:id="263" w:name="_Toc426469921"/>
      <w:r>
        <w:rPr>
          <w:rFonts w:hint="eastAsia" w:ascii="宋体" w:hAnsi="宋体" w:eastAsia="宋体" w:cs="宋体"/>
          <w:b/>
          <w:color w:val="auto"/>
          <w:highlight w:val="none"/>
        </w:rPr>
        <w:t xml:space="preserve">2.3详细评审</w:t>
      </w:r>
      <w:bookmarkEnd w:id="261"/>
      <w:r/>
      <w:bookmarkEnd w:id="262"/>
      <w:r/>
      <w:r/>
    </w:p>
    <w:tbl>
      <w:tblPr>
        <w:tblStyle w:val="661"/>
        <w:tblW w:w="94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3"/>
        <w:gridCol w:w="6602"/>
        <w:gridCol w:w="673"/>
      </w:tblGrid>
      <w:tr>
        <w:trPr>
          <w:trHeight w:val="5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分值</w:t>
            </w:r>
            <w:r/>
          </w:p>
        </w:tc>
      </w:tr>
      <w:tr>
        <w:trPr>
          <w:trHeight w:val="502"/>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28" w:type="dxa"/>
            <w:vAlign w:val="center"/>
            <w:textDirection w:val="lrTb"/>
            <w:noWrap w:val="false"/>
          </w:tcPr>
          <w:p>
            <w:pPr>
              <w:jc w:val="both"/>
              <w:keepLines w:val="0"/>
              <w:keepNext w:val="0"/>
              <w:pageBreakBefore w:val="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64" w:name="OLE_LINK34"/>
            <w:r>
              <w:rPr>
                <w:rFonts w:hint="eastAsia" w:ascii="宋体" w:hAnsi="宋体" w:eastAsia="宋体" w:cs="宋体"/>
                <w:b/>
                <w:bCs/>
                <w:i w:val="0"/>
                <w:iCs w:val="0"/>
                <w:color w:val="auto"/>
                <w:sz w:val="24"/>
                <w:szCs w:val="24"/>
                <w:highlight w:val="none"/>
                <w:u w:val="none"/>
                <w:lang w:val="en-US" w:eastAsia="zh-CN" w:bidi="ar"/>
              </w:rPr>
              <w:t xml:space="preserve">一、报价评审（1</w:t>
            </w: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zh-CN" w:eastAsia="zh-CN" w:bidi="zh-CN"/>
              </w:rPr>
              <w:t xml:space="preserve">报价评审           （</w:t>
            </w:r>
            <w:r>
              <w:rPr>
                <w:rFonts w:hint="eastAsia" w:ascii="宋体" w:hAnsi="宋体" w:cs="宋体"/>
                <w:color w:val="auto"/>
                <w:spacing w:val="-3"/>
                <w:sz w:val="24"/>
                <w:szCs w:val="24"/>
                <w:highlight w:val="none"/>
                <w:lang w:val="en-US" w:eastAsia="zh-CN" w:bidi="zh-CN"/>
              </w:rPr>
              <w:t xml:space="preserve">15</w:t>
            </w:r>
            <w:r>
              <w:rPr>
                <w:rFonts w:hint="eastAsia" w:ascii="宋体" w:hAnsi="宋体" w:eastAsia="宋体" w:cs="宋体"/>
                <w:color w:val="auto"/>
                <w:spacing w:val="-3"/>
                <w:sz w:val="24"/>
                <w:szCs w:val="24"/>
                <w:highlight w:val="none"/>
                <w:lang w:val="zh-CN" w:eastAsia="zh-CN" w:bidi="zh-CN"/>
              </w:rPr>
              <w:t xml:space="preserve">分）</w:t>
            </w:r>
            <w:bookmarkEnd w:id="264"/>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资格审查和</w:t>
            </w:r>
            <w:r>
              <w:rPr>
                <w:rFonts w:hint="eastAsia" w:ascii="宋体" w:hAnsi="宋体" w:cs="宋体"/>
                <w:color w:val="auto"/>
                <w:sz w:val="21"/>
                <w:szCs w:val="21"/>
                <w:highlight w:val="none"/>
                <w:lang w:val="zh-CN" w:eastAsia="zh-CN"/>
              </w:rPr>
              <w:t xml:space="preserve">符合审查</w:t>
            </w:r>
            <w:r>
              <w:rPr>
                <w:rFonts w:hint="eastAsia" w:ascii="宋体" w:hAnsi="宋体" w:eastAsia="宋体" w:cs="宋体"/>
                <w:color w:val="auto"/>
                <w:sz w:val="21"/>
                <w:szCs w:val="21"/>
                <w:highlight w:val="none"/>
                <w:lang w:val="zh-CN" w:eastAsia="zh-CN"/>
              </w:rPr>
              <w:t xml:space="preserve">合格且投标价格最低为评标基准价，其价格分为</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zh-CN" w:eastAsia="zh-CN"/>
              </w:rPr>
              <w:t xml:space="preserve">分（无效报价的报价得分为0分）。其他投标人的价格分按照下列公式计算（小数点保留两位）：投标报价得分=（评标基准价／投标报价）×</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zh-CN" w:eastAsia="zh-CN"/>
              </w:rPr>
              <w:t xml:space="preserve">分（保留两位小数）。</w:t>
            </w:r>
            <w:r/>
          </w:p>
          <w:p>
            <w:pPr>
              <w:jc w:val="left"/>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2.评审过程中出现下列情形之一的，评审委员会应当启动异常低价投标（响应）审查程序：</w:t>
            </w:r>
            <w:r/>
          </w:p>
          <w:p>
            <w:pPr>
              <w:numPr>
                <w:ilvl w:val="0"/>
                <w:numId w:val="0"/>
              </w:numPr>
              <w:jc w:val="left"/>
              <w:keepLines w:val="0"/>
              <w:keepNext w:val="0"/>
              <w:pageBreakBefore w:val="0"/>
              <w:spacing w:line="30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zh-CN" w:eastAsia="zh-CN"/>
              </w:rPr>
              <w:t xml:space="preserve">投标（响应）报价低于全部通过符合性审查供应商投标（响应）报价平均值50%的，即投标（响应）报价&lt;全部通过符合性审查供应商投标（响应）报价平均值×50%；</w:t>
            </w:r>
            <w:r/>
          </w:p>
          <w:p>
            <w:pPr>
              <w:numPr>
                <w:ilvl w:val="0"/>
                <w:numId w:val="0"/>
              </w:numPr>
              <w:jc w:val="left"/>
              <w:keepLines w:val="0"/>
              <w:keepNext w:val="0"/>
              <w:pageBreakBefore w:val="0"/>
              <w:spacing w:line="30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投标（响应）报价低于通过符合性审查的次低报价供应商投标（响应）报价50%的，即投标（响应）报价&lt;通过符合性审查的次低报价供应商投标（响应）报价×50%；</w:t>
            </w:r>
            <w:r/>
          </w:p>
          <w:p>
            <w:pPr>
              <w:numPr>
                <w:ilvl w:val="0"/>
                <w:numId w:val="0"/>
              </w:numPr>
              <w:jc w:val="left"/>
              <w:keepLines w:val="0"/>
              <w:keepNext w:val="0"/>
              <w:pageBreakBefore w:val="0"/>
              <w:spacing w:line="30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val="zh-CN" w:eastAsia="zh-CN"/>
              </w:rPr>
              <w:t xml:space="preserve">投标（响应）报价低于采购项目最高限价45%的，即投标（响应）报价&lt;采购项目最高限价×45%；</w:t>
            </w:r>
            <w:r/>
          </w:p>
          <w:p>
            <w:pPr>
              <w:numPr>
                <w:ilvl w:val="0"/>
                <w:numId w:val="0"/>
              </w:numPr>
              <w:jc w:val="left"/>
              <w:keepLines w:val="0"/>
              <w:keepNext w:val="0"/>
              <w:pageBreakBefore w:val="0"/>
              <w:spacing w:line="30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评审委员会认定的供应商报价过低、有可能影响产品质量或者不能诚信履约的其他情形。</w:t>
            </w:r>
            <w:r/>
          </w:p>
          <w:p>
            <w:pPr>
              <w:numPr>
                <w:ilvl w:val="0"/>
                <w:numId w:val="1"/>
              </w:numPr>
              <w:jc w:val="left"/>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numPr>
                <w:ilvl w:val="0"/>
                <w:numId w:val="0"/>
              </w:numPr>
              <w:jc w:val="left"/>
              <w:keepLines w:val="0"/>
              <w:keepNext w:val="0"/>
              <w:pageBreakBefore w:val="0"/>
              <w:spacing w:line="30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4.根据《政府采购促进中小企业发展管理办法》规定，对小型和微型企业的投标价格给予10%扣除，扣除后的价格参与评审。提供《中小企业声明函》。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8" w:type="dxa"/>
            <w:vAlign w:val="center"/>
            <w:textDirection w:val="lrTb"/>
            <w:noWrap w:val="false"/>
          </w:tcPr>
          <w:p>
            <w:pPr>
              <w:pStyle w:val="659"/>
              <w:ind w:left="0" w:firstLine="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bCs/>
                <w:i w:val="0"/>
                <w:iCs w:val="0"/>
                <w:color w:val="auto"/>
                <w:sz w:val="24"/>
                <w:szCs w:val="24"/>
                <w:highlight w:val="none"/>
                <w:u w:val="none"/>
                <w:lang w:val="en-US" w:eastAsia="zh-CN" w:bidi="ar"/>
              </w:rPr>
              <w:t xml:space="preserve">二、商务评审（39分）</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企业体系认证</w:t>
            </w:r>
            <w:r/>
          </w:p>
          <w:p>
            <w:pPr>
              <w:jc w:val="center"/>
              <w:keepLines w:val="0"/>
              <w:keepNext w:val="0"/>
              <w:pageBreakBefore w:val="0"/>
              <w:spacing w:line="3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w:t>
            </w:r>
            <w:r>
              <w:rPr>
                <w:rFonts w:hint="eastAsia" w:ascii="宋体" w:hAnsi="宋体" w:cs="宋体"/>
                <w:color w:val="auto"/>
                <w:sz w:val="24"/>
                <w:szCs w:val="24"/>
                <w:highlight w:val="none"/>
                <w:lang w:val="en-US" w:eastAsia="zh-CN"/>
              </w:rPr>
              <w:t xml:space="preserve">具有有效期内的</w:t>
            </w:r>
            <w:r>
              <w:rPr>
                <w:rFonts w:ascii="宋体" w:hAnsi="宋体" w:eastAsia="宋体" w:cs="宋体"/>
                <w:color w:val="auto"/>
                <w:sz w:val="24"/>
                <w:szCs w:val="24"/>
                <w:highlight w:val="none"/>
              </w:rPr>
              <w:t xml:space="preserve">ISO9001 质量管理体系认证</w:t>
            </w:r>
            <w:r>
              <w:rPr>
                <w:rFonts w:hint="eastAsia" w:ascii="宋体" w:hAnsi="宋体" w:eastAsia="宋体" w:cs="宋体"/>
                <w:color w:val="auto"/>
                <w:sz w:val="24"/>
                <w:szCs w:val="24"/>
                <w:highlight w:val="none"/>
                <w:lang w:eastAsia="zh-CN"/>
              </w:rPr>
              <w:t xml:space="preserve">、</w:t>
            </w:r>
            <w:r>
              <w:rPr>
                <w:rFonts w:ascii="宋体" w:hAnsi="宋体" w:eastAsia="宋体" w:cs="宋体"/>
                <w:strike w:val="0"/>
                <w:color w:val="auto"/>
                <w:sz w:val="24"/>
                <w:szCs w:val="24"/>
                <w:highlight w:val="none"/>
              </w:rPr>
              <w:t xml:space="preserve">ISO14001 环境管理体系认证</w:t>
            </w:r>
            <w:r>
              <w:rPr>
                <w:rFonts w:hint="eastAsia" w:ascii="宋体" w:hAnsi="宋体" w:eastAsia="宋体" w:cs="宋体"/>
                <w:strike w:val="0"/>
                <w:color w:val="auto"/>
                <w:sz w:val="24"/>
                <w:szCs w:val="24"/>
                <w:highlight w:val="none"/>
                <w:lang w:eastAsia="zh-CN"/>
              </w:rPr>
              <w:t xml:space="preserve">、</w:t>
            </w:r>
            <w:r>
              <w:rPr>
                <w:rFonts w:ascii="宋体" w:hAnsi="宋体" w:eastAsia="宋体" w:cs="宋体"/>
                <w:strike w:val="0"/>
                <w:color w:val="auto"/>
                <w:sz w:val="24"/>
                <w:szCs w:val="24"/>
                <w:highlight w:val="none"/>
              </w:rPr>
              <w:t xml:space="preserve">I</w:t>
            </w:r>
            <w:r>
              <w:rPr>
                <w:rFonts w:ascii="宋体" w:hAnsi="宋体" w:eastAsia="宋体" w:cs="宋体"/>
                <w:color w:val="auto"/>
                <w:sz w:val="24"/>
                <w:szCs w:val="24"/>
                <w:highlight w:val="none"/>
              </w:rPr>
              <w:t xml:space="preserve">SO45001 职业健康安全管理体系认证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有一个得2分，最高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（投标时须提供相应有效认证证书原件扫描件，同时还须提供该证书在“国家市场监督管理总局－全国认证认可信息公共服务平台”网站查询到的有效认证截图，</w:t>
            </w:r>
            <w:r>
              <w:rPr>
                <w:rFonts w:hint="eastAsia" w:ascii="宋体" w:hAnsi="宋体" w:eastAsia="宋体" w:cs="宋体"/>
                <w:i w:val="0"/>
                <w:iCs w:val="0"/>
                <w:color w:val="auto"/>
                <w:sz w:val="24"/>
                <w:szCs w:val="24"/>
                <w:highlight w:val="none"/>
                <w:u w:val="none"/>
                <w:lang w:val="en-US" w:eastAsia="zh-CN" w:bidi="ar"/>
              </w:rPr>
              <w:t xml:space="preserve">加盖投标人公章，</w:t>
            </w:r>
            <w:r>
              <w:rPr>
                <w:rFonts w:hint="eastAsia" w:ascii="宋体" w:hAnsi="宋体" w:eastAsia="宋体" w:cs="宋体"/>
                <w:color w:val="auto"/>
                <w:sz w:val="24"/>
                <w:szCs w:val="24"/>
                <w:highlight w:val="none"/>
                <w:lang w:val="en-US" w:eastAsia="zh-CN"/>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业绩（</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投标人提供自202</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年1月1日以来</w:t>
            </w:r>
            <w:r>
              <w:rPr>
                <w:rFonts w:hint="eastAsia" w:ascii="宋体" w:hAnsi="宋体" w:cs="宋体"/>
                <w:i w:val="0"/>
                <w:iCs w:val="0"/>
                <w:color w:val="auto"/>
                <w:sz w:val="24"/>
                <w:szCs w:val="24"/>
                <w:highlight w:val="none"/>
                <w:u w:val="none"/>
                <w:lang w:val="en-US" w:eastAsia="zh-CN" w:bidi="ar"/>
              </w:rPr>
              <w:t xml:space="preserve">承接</w:t>
            </w:r>
            <w:r>
              <w:rPr>
                <w:rFonts w:hint="eastAsia" w:ascii="宋体" w:hAnsi="宋体" w:eastAsia="宋体" w:cs="宋体"/>
                <w:i w:val="0"/>
                <w:iCs w:val="0"/>
                <w:color w:val="auto"/>
                <w:sz w:val="24"/>
                <w:szCs w:val="24"/>
                <w:highlight w:val="none"/>
                <w:u w:val="none"/>
                <w:lang w:val="en-US" w:eastAsia="zh-CN" w:bidi="ar"/>
              </w:rPr>
              <w:t xml:space="preserve">过类似项目</w:t>
            </w:r>
            <w:r>
              <w:rPr>
                <w:rFonts w:hint="eastAsia" w:ascii="宋体" w:hAnsi="宋体" w:cs="宋体"/>
                <w:i w:val="0"/>
                <w:iCs w:val="0"/>
                <w:color w:val="auto"/>
                <w:sz w:val="24"/>
                <w:szCs w:val="24"/>
                <w:highlight w:val="none"/>
                <w:u w:val="none"/>
                <w:lang w:val="en-US" w:eastAsia="zh-CN" w:bidi="ar"/>
              </w:rPr>
              <w:t xml:space="preserve">业绩</w:t>
            </w:r>
            <w:r>
              <w:rPr>
                <w:rFonts w:hint="eastAsia" w:ascii="宋体" w:hAnsi="宋体" w:eastAsia="宋体" w:cs="宋体"/>
                <w:i w:val="0"/>
                <w:iCs w:val="0"/>
                <w:color w:val="auto"/>
                <w:sz w:val="24"/>
                <w:szCs w:val="24"/>
                <w:highlight w:val="none"/>
                <w:u w:val="none"/>
                <w:lang w:val="en-US" w:eastAsia="zh-CN" w:bidi="ar"/>
              </w:rPr>
              <w:t xml:space="preserve">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有一个得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p>
            <w:pPr>
              <w:jc w:val="left"/>
              <w:keepLines w:val="0"/>
              <w:keepNext w:val="0"/>
              <w:pageBreakBefore w:val="0"/>
              <w:spacing w:line="300" w:lineRule="exact"/>
              <w:widowControl/>
              <w:rPr>
                <w:rFonts w:hint="eastAsia"/>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（提供合同及投标人在履行</w:t>
            </w:r>
            <w:r>
              <w:rPr>
                <w:rFonts w:hint="eastAsia" w:ascii="宋体" w:hAnsi="宋体" w:cs="宋体"/>
                <w:i w:val="0"/>
                <w:iCs w:val="0"/>
                <w:color w:val="auto"/>
                <w:sz w:val="24"/>
                <w:szCs w:val="24"/>
                <w:highlight w:val="none"/>
                <w:u w:val="none"/>
                <w:lang w:val="en-US" w:eastAsia="zh-CN" w:bidi="ar"/>
              </w:rPr>
              <w:t xml:space="preserve">业绩项目</w:t>
            </w:r>
            <w:r>
              <w:rPr>
                <w:rFonts w:hint="eastAsia" w:ascii="宋体" w:hAnsi="宋体" w:eastAsia="宋体" w:cs="宋体"/>
                <w:i w:val="0"/>
                <w:iCs w:val="0"/>
                <w:color w:val="auto"/>
                <w:sz w:val="24"/>
                <w:szCs w:val="24"/>
                <w:highlight w:val="none"/>
                <w:u w:val="none"/>
                <w:lang w:val="en-US" w:eastAsia="zh-CN" w:bidi="ar"/>
              </w:rPr>
              <w:t xml:space="preserve">期间</w:t>
            </w:r>
            <w:r>
              <w:rPr>
                <w:rFonts w:hint="eastAsia" w:ascii="宋体" w:hAnsi="宋体" w:cs="宋体"/>
                <w:i w:val="0"/>
                <w:iCs w:val="0"/>
                <w:color w:val="auto"/>
                <w:sz w:val="24"/>
                <w:szCs w:val="24"/>
                <w:highlight w:val="none"/>
                <w:u w:val="none"/>
                <w:lang w:val="en-US" w:eastAsia="zh-CN" w:bidi="ar"/>
              </w:rPr>
              <w:t xml:space="preserve">任意一笔</w:t>
            </w:r>
            <w:r>
              <w:rPr>
                <w:rFonts w:hint="eastAsia" w:ascii="宋体" w:hAnsi="宋体" w:eastAsia="宋体" w:cs="宋体"/>
                <w:i w:val="0"/>
                <w:iCs w:val="0"/>
                <w:color w:val="auto"/>
                <w:sz w:val="24"/>
                <w:szCs w:val="24"/>
                <w:highlight w:val="none"/>
                <w:u w:val="none"/>
                <w:lang w:val="en-US" w:eastAsia="zh-CN" w:bidi="ar"/>
              </w:rPr>
              <w:t xml:space="preserve">费用</w:t>
            </w:r>
            <w:r>
              <w:rPr>
                <w:rFonts w:hint="eastAsia" w:ascii="宋体" w:hAnsi="宋体" w:cs="宋体"/>
                <w:i w:val="0"/>
                <w:iCs w:val="0"/>
                <w:color w:val="auto"/>
                <w:sz w:val="24"/>
                <w:szCs w:val="24"/>
                <w:highlight w:val="none"/>
                <w:u w:val="none"/>
                <w:lang w:val="en-US" w:eastAsia="zh-CN" w:bidi="ar"/>
              </w:rPr>
              <w:t xml:space="preserve">往来</w:t>
            </w:r>
            <w:r>
              <w:rPr>
                <w:rFonts w:hint="eastAsia" w:ascii="宋体" w:hAnsi="宋体" w:eastAsia="宋体" w:cs="宋体"/>
                <w:i w:val="0"/>
                <w:iCs w:val="0"/>
                <w:color w:val="auto"/>
                <w:sz w:val="24"/>
                <w:szCs w:val="24"/>
                <w:highlight w:val="none"/>
                <w:u w:val="none"/>
                <w:lang w:val="en-US" w:eastAsia="zh-CN" w:bidi="ar"/>
              </w:rPr>
              <w:t xml:space="preserve">的凭证</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加盖投标人公章，不提供不得分</w:t>
            </w: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企业荣誉（</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lang w:val="zh-CN" w:eastAsia="zh-CN" w:bidi="ar"/>
              </w:rPr>
              <w:suppressLineNumbers w:val="0"/>
            </w:pPr>
            <w:r>
              <w:rPr>
                <w:rFonts w:hint="eastAsia" w:ascii="宋体" w:hAnsi="宋体" w:eastAsia="宋体" w:cs="宋体"/>
                <w:b/>
                <w:bCs/>
                <w:i w:val="0"/>
                <w:iCs w:val="0"/>
                <w:color w:val="auto"/>
                <w:sz w:val="24"/>
                <w:szCs w:val="24"/>
                <w:highlight w:val="none"/>
                <w:u w:val="none"/>
                <w:lang w:val="zh-CN" w:eastAsia="zh-CN" w:bidi="ar"/>
              </w:rPr>
              <w:t xml:space="preserve">投标人自20</w:t>
            </w:r>
            <w:r>
              <w:rPr>
                <w:rFonts w:hint="eastAsia" w:ascii="宋体" w:hAnsi="宋体" w:eastAsia="宋体" w:cs="宋体"/>
                <w:b/>
                <w:bCs/>
                <w:i w:val="0"/>
                <w:iCs w:val="0"/>
                <w:color w:val="auto"/>
                <w:sz w:val="24"/>
                <w:szCs w:val="24"/>
                <w:highlight w:val="none"/>
                <w:u w:val="none"/>
                <w:lang w:val="en-US" w:eastAsia="zh-CN" w:bidi="ar"/>
              </w:rPr>
              <w:t xml:space="preserve">23</w:t>
            </w:r>
            <w:r>
              <w:rPr>
                <w:rFonts w:hint="eastAsia" w:ascii="宋体" w:hAnsi="宋体" w:eastAsia="宋体" w:cs="宋体"/>
                <w:b/>
                <w:bCs/>
                <w:i w:val="0"/>
                <w:iCs w:val="0"/>
                <w:color w:val="auto"/>
                <w:sz w:val="24"/>
                <w:szCs w:val="24"/>
                <w:highlight w:val="none"/>
                <w:u w:val="none"/>
                <w:lang w:val="zh-CN" w:eastAsia="zh-CN" w:bidi="ar"/>
              </w:rPr>
              <w:t xml:space="preserve">年1月1日以来获</w:t>
            </w:r>
            <w:r>
              <w:rPr>
                <w:rFonts w:hint="eastAsia" w:ascii="宋体" w:hAnsi="宋体" w:eastAsia="宋体" w:cs="宋体"/>
                <w:b/>
                <w:bCs/>
                <w:i w:val="0"/>
                <w:iCs w:val="0"/>
                <w:color w:val="auto"/>
                <w:sz w:val="24"/>
                <w:szCs w:val="24"/>
                <w:highlight w:val="none"/>
                <w:u w:val="none"/>
                <w:lang w:val="en-US" w:eastAsia="zh-CN" w:bidi="ar"/>
              </w:rPr>
              <w:t xml:space="preserve">得过</w:t>
            </w:r>
            <w:r>
              <w:rPr>
                <w:rFonts w:hint="eastAsia" w:ascii="宋体" w:hAnsi="宋体" w:eastAsia="宋体" w:cs="宋体"/>
                <w:b/>
                <w:bCs/>
                <w:i w:val="0"/>
                <w:iCs w:val="0"/>
                <w:color w:val="auto"/>
                <w:sz w:val="24"/>
                <w:szCs w:val="24"/>
                <w:highlight w:val="none"/>
                <w:u w:val="none"/>
                <w:lang w:val="zh-CN" w:eastAsia="zh-CN" w:bidi="ar"/>
              </w:rPr>
              <w:t xml:space="preserve">与保安服务相关的奖励或表彰的：</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1.获得过</w:t>
            </w:r>
            <w:r>
              <w:rPr>
                <w:rFonts w:hint="eastAsia" w:ascii="宋体" w:hAnsi="宋体" w:eastAsia="宋体" w:cs="宋体"/>
                <w:i w:val="0"/>
                <w:iCs w:val="0"/>
                <w:color w:val="auto"/>
                <w:sz w:val="24"/>
                <w:szCs w:val="24"/>
                <w:highlight w:val="none"/>
                <w:u w:val="none"/>
                <w:lang w:val="zh-CN" w:eastAsia="zh-CN" w:bidi="ar"/>
              </w:rPr>
              <w:t xml:space="preserve">国家级行政部门</w:t>
            </w:r>
            <w:r>
              <w:rPr>
                <w:rFonts w:hint="eastAsia" w:ascii="宋体" w:hAnsi="宋体" w:eastAsia="宋体" w:cs="宋体"/>
                <w:i w:val="0"/>
                <w:iCs w:val="0"/>
                <w:color w:val="auto"/>
                <w:sz w:val="24"/>
                <w:szCs w:val="24"/>
                <w:highlight w:val="none"/>
                <w:u w:val="none"/>
                <w:lang w:val="en-US" w:eastAsia="zh-CN" w:bidi="ar"/>
              </w:rPr>
              <w:t xml:space="preserve">颁发的</w:t>
            </w:r>
            <w:r>
              <w:rPr>
                <w:rFonts w:hint="eastAsia" w:ascii="宋体" w:hAnsi="宋体" w:eastAsia="宋体" w:cs="宋体"/>
                <w:i w:val="0"/>
                <w:iCs w:val="0"/>
                <w:color w:val="auto"/>
                <w:sz w:val="24"/>
                <w:szCs w:val="24"/>
                <w:highlight w:val="none"/>
                <w:u w:val="none"/>
                <w:lang w:val="zh-CN" w:eastAsia="zh-CN" w:bidi="ar"/>
              </w:rPr>
              <w:t xml:space="preserve">奖励</w:t>
            </w:r>
            <w:r>
              <w:rPr>
                <w:rFonts w:hint="eastAsia" w:ascii="宋体" w:hAnsi="宋体" w:eastAsia="宋体" w:cs="宋体"/>
                <w:i w:val="0"/>
                <w:iCs w:val="0"/>
                <w:color w:val="auto"/>
                <w:sz w:val="24"/>
                <w:szCs w:val="24"/>
                <w:highlight w:val="none"/>
                <w:u w:val="none"/>
                <w:lang w:val="en-US" w:eastAsia="zh-CN" w:bidi="ar"/>
              </w:rPr>
              <w:t xml:space="preserve">或</w:t>
            </w:r>
            <w:r>
              <w:rPr>
                <w:rFonts w:hint="eastAsia" w:ascii="宋体" w:hAnsi="宋体" w:eastAsia="宋体" w:cs="宋体"/>
                <w:i w:val="0"/>
                <w:iCs w:val="0"/>
                <w:color w:val="auto"/>
                <w:sz w:val="24"/>
                <w:szCs w:val="24"/>
                <w:highlight w:val="none"/>
                <w:u w:val="none"/>
                <w:lang w:val="zh-CN" w:eastAsia="zh-CN" w:bidi="ar"/>
              </w:rPr>
              <w:t xml:space="preserve">表彰的，</w:t>
            </w:r>
            <w:r>
              <w:rPr>
                <w:rFonts w:hint="eastAsia" w:ascii="宋体" w:hAnsi="宋体" w:eastAsia="宋体" w:cs="宋体"/>
                <w:i w:val="0"/>
                <w:iCs w:val="0"/>
                <w:color w:val="auto"/>
                <w:sz w:val="24"/>
                <w:szCs w:val="24"/>
                <w:highlight w:val="none"/>
                <w:u w:val="none"/>
                <w:lang w:val="en-US" w:eastAsia="zh-CN" w:bidi="ar"/>
              </w:rPr>
              <w:t xml:space="preserve">有一个</w:t>
            </w:r>
            <w:r>
              <w:rPr>
                <w:rFonts w:hint="eastAsia" w:ascii="宋体" w:hAnsi="宋体" w:eastAsia="宋体" w:cs="宋体"/>
                <w:i w:val="0"/>
                <w:iCs w:val="0"/>
                <w:color w:val="auto"/>
                <w:sz w:val="24"/>
                <w:szCs w:val="24"/>
                <w:highlight w:val="none"/>
                <w:u w:val="none"/>
                <w:lang w:val="zh-CN" w:eastAsia="zh-CN" w:bidi="ar"/>
              </w:rPr>
              <w:t xml:space="preserve">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zh-CN" w:eastAsia="zh-CN" w:bidi="ar"/>
              </w:rPr>
              <w:t xml:space="preserve">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zh-CN" w:eastAsia="zh-CN" w:bidi="ar"/>
              </w:rPr>
              <w:t xml:space="preserve">获</w:t>
            </w:r>
            <w:r>
              <w:rPr>
                <w:rFonts w:hint="eastAsia" w:ascii="宋体" w:hAnsi="宋体" w:eastAsia="宋体" w:cs="宋体"/>
                <w:i w:val="0"/>
                <w:iCs w:val="0"/>
                <w:color w:val="auto"/>
                <w:sz w:val="24"/>
                <w:szCs w:val="24"/>
                <w:highlight w:val="none"/>
                <w:u w:val="none"/>
                <w:lang w:val="en-US" w:eastAsia="zh-CN" w:bidi="ar"/>
              </w:rPr>
              <w:t xml:space="preserve">得过</w:t>
            </w:r>
            <w:r>
              <w:rPr>
                <w:rFonts w:hint="eastAsia" w:ascii="宋体" w:hAnsi="宋体" w:eastAsia="宋体" w:cs="宋体"/>
                <w:i w:val="0"/>
                <w:iCs w:val="0"/>
                <w:color w:val="auto"/>
                <w:sz w:val="24"/>
                <w:szCs w:val="24"/>
                <w:highlight w:val="none"/>
                <w:u w:val="none"/>
                <w:lang w:val="zh-CN" w:eastAsia="zh-CN" w:bidi="ar"/>
              </w:rPr>
              <w:t xml:space="preserve">省级行政部门颁发的奖励或表彰的，有一个得3分；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zh-CN" w:eastAsia="zh-CN" w:bidi="ar"/>
              </w:rPr>
              <w:t xml:space="preserve">获得过地级市行政部门颁发的奖励或表彰的，有一个得2分；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zh-CN" w:eastAsia="zh-CN" w:bidi="ar"/>
              </w:rPr>
              <w:t xml:space="preserve">获得过县级市行政部门颁发的奖励</w:t>
            </w:r>
            <w:r>
              <w:rPr>
                <w:rFonts w:hint="eastAsia" w:ascii="宋体" w:hAnsi="宋体" w:eastAsia="宋体" w:cs="宋体"/>
                <w:i w:val="0"/>
                <w:iCs w:val="0"/>
                <w:color w:val="auto"/>
                <w:sz w:val="24"/>
                <w:szCs w:val="24"/>
                <w:highlight w:val="none"/>
                <w:u w:val="none"/>
                <w:lang w:val="en-US" w:eastAsia="zh-CN" w:bidi="ar"/>
              </w:rPr>
              <w:t xml:space="preserve">或</w:t>
            </w:r>
            <w:r>
              <w:rPr>
                <w:rFonts w:hint="eastAsia" w:ascii="宋体" w:hAnsi="宋体" w:eastAsia="宋体" w:cs="宋体"/>
                <w:i w:val="0"/>
                <w:iCs w:val="0"/>
                <w:color w:val="auto"/>
                <w:sz w:val="24"/>
                <w:szCs w:val="24"/>
                <w:highlight w:val="none"/>
                <w:u w:val="none"/>
                <w:lang w:val="zh-CN" w:eastAsia="zh-CN" w:bidi="ar"/>
              </w:rPr>
              <w:t xml:space="preserve">表彰的，有一个得1分；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注：</w:t>
            </w:r>
            <w:r>
              <w:rPr>
                <w:rFonts w:hint="eastAsia" w:ascii="宋体" w:hAnsi="宋体" w:eastAsia="宋体" w:cs="宋体"/>
                <w:i w:val="0"/>
                <w:iCs w:val="0"/>
                <w:color w:val="auto"/>
                <w:sz w:val="24"/>
                <w:szCs w:val="24"/>
                <w:highlight w:val="none"/>
                <w:u w:val="none"/>
                <w:lang w:val="zh-CN" w:eastAsia="zh-CN" w:bidi="ar"/>
              </w:rPr>
              <w:t xml:space="preserve">在不同级别受奖励或表彰的同一项目按最高荣誉称号计分，不累计计分；不同年度受奖励或表彰的可累计计分。最高得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zh-CN" w:eastAsia="zh-CN" w:bidi="ar"/>
              </w:rPr>
              <w:t xml:space="preserve">分。（投标时须提供奖励或表彰证书或相关证明文件的</w:t>
            </w:r>
            <w:r>
              <w:rPr>
                <w:rFonts w:hint="eastAsia" w:ascii="宋体" w:hAnsi="宋体" w:eastAsia="宋体" w:cs="宋体"/>
                <w:i w:val="0"/>
                <w:iCs w:val="0"/>
                <w:color w:val="auto"/>
                <w:sz w:val="24"/>
                <w:szCs w:val="24"/>
                <w:highlight w:val="none"/>
                <w:u w:val="none"/>
                <w:lang w:val="en-US" w:eastAsia="zh-CN" w:bidi="ar"/>
              </w:rPr>
              <w:t xml:space="preserve">扫描件，加盖投标人公章，未提供的不得分</w:t>
            </w:r>
            <w:r>
              <w:rPr>
                <w:rFonts w:hint="eastAsia" w:ascii="宋体" w:hAnsi="宋体" w:eastAsia="宋体" w:cs="宋体"/>
                <w:i w:val="0"/>
                <w:iCs w:val="0"/>
                <w:color w:val="auto"/>
                <w:sz w:val="24"/>
                <w:szCs w:val="24"/>
                <w:highlight w:val="none"/>
                <w:u w:val="none"/>
                <w:lang w:val="zh-CN"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numPr>
                <w:ilvl w:val="0"/>
                <w:numId w:val="0"/>
              </w:num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拟派项目负责人</w:t>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numPr>
                <w:ilvl w:val="0"/>
                <w:numId w:val="0"/>
              </w:numPr>
              <w:jc w:val="both"/>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拟派</w:t>
            </w:r>
            <w:r>
              <w:rPr>
                <w:rFonts w:hint="eastAsia" w:ascii="宋体" w:hAnsi="宋体" w:eastAsia="宋体" w:cs="宋体"/>
                <w:b/>
                <w:bCs/>
                <w:i w:val="0"/>
                <w:iCs w:val="0"/>
                <w:color w:val="auto"/>
                <w:sz w:val="24"/>
                <w:szCs w:val="24"/>
                <w:highlight w:val="none"/>
                <w:u w:val="none"/>
                <w:lang w:val="en-US" w:eastAsia="zh-CN" w:bidi="ar"/>
              </w:rPr>
              <w:t xml:space="preserve">项目</w:t>
            </w:r>
            <w:r>
              <w:rPr>
                <w:rFonts w:hint="eastAsia" w:ascii="宋体" w:hAnsi="宋体" w:cs="宋体"/>
                <w:b/>
                <w:bCs/>
                <w:i w:val="0"/>
                <w:iCs w:val="0"/>
                <w:color w:val="auto"/>
                <w:sz w:val="24"/>
                <w:szCs w:val="24"/>
                <w:highlight w:val="none"/>
                <w:u w:val="none"/>
                <w:lang w:val="en-US" w:eastAsia="zh-CN" w:bidi="ar"/>
              </w:rPr>
              <w:t xml:space="preserve">负责人</w:t>
            </w:r>
            <w:r>
              <w:rPr>
                <w:rFonts w:hint="eastAsia" w:ascii="宋体" w:hAnsi="宋体" w:eastAsia="宋体" w:cs="宋体"/>
                <w:i w:val="0"/>
                <w:iCs w:val="0"/>
                <w:color w:val="auto"/>
                <w:sz w:val="24"/>
                <w:szCs w:val="24"/>
                <w:highlight w:val="none"/>
                <w:u w:val="none"/>
                <w:lang w:val="en-US" w:eastAsia="zh-CN" w:bidi="ar"/>
              </w:rPr>
              <w:t xml:space="preserve">资质、经验：</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是</w:t>
            </w:r>
            <w:r>
              <w:rPr>
                <w:rFonts w:hint="eastAsia" w:ascii="宋体" w:hAnsi="宋体" w:eastAsia="宋体" w:cs="宋体"/>
                <w:i w:val="0"/>
                <w:iCs w:val="0"/>
                <w:color w:val="auto"/>
                <w:sz w:val="24"/>
                <w:szCs w:val="24"/>
                <w:highlight w:val="none"/>
                <w:u w:val="none"/>
                <w:lang w:val="en-US" w:eastAsia="zh-CN" w:bidi="ar"/>
              </w:rPr>
              <w:t xml:space="preserve">退役军人</w:t>
            </w:r>
            <w:r>
              <w:rPr>
                <w:rFonts w:hint="eastAsia" w:ascii="宋体" w:hAnsi="宋体" w:cs="宋体"/>
                <w:i w:val="0"/>
                <w:iCs w:val="0"/>
                <w:color w:val="auto"/>
                <w:sz w:val="24"/>
                <w:szCs w:val="24"/>
                <w:highlight w:val="none"/>
                <w:u w:val="none"/>
                <w:lang w:val="en-US" w:eastAsia="zh-CN" w:bidi="ar"/>
              </w:rPr>
              <w:t xml:space="preserve">或退役武警的，得</w:t>
            </w:r>
            <w:r>
              <w:rPr>
                <w:rFonts w:hint="eastAsia" w:ascii="宋体" w:hAnsi="宋体" w:eastAsia="宋体" w:cs="宋体"/>
                <w:i w:val="0"/>
                <w:iCs w:val="0"/>
                <w:color w:val="auto"/>
                <w:sz w:val="24"/>
                <w:szCs w:val="24"/>
                <w:highlight w:val="none"/>
                <w:u w:val="none"/>
                <w:lang w:val="en-US" w:eastAsia="zh-CN" w:bidi="ar"/>
              </w:rPr>
              <w:t xml:space="preserve">1分；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具有本科及以上学历的，</w:t>
            </w:r>
            <w:r>
              <w:rPr>
                <w:rFonts w:hint="eastAsia" w:ascii="宋体" w:hAnsi="宋体" w:cs="宋体"/>
                <w:i w:val="0"/>
                <w:iCs w:val="0"/>
                <w:color w:val="auto"/>
                <w:sz w:val="24"/>
                <w:szCs w:val="24"/>
                <w:highlight w:val="none"/>
                <w:u w:val="none"/>
                <w:lang w:val="en-US" w:eastAsia="zh-CN" w:bidi="ar"/>
              </w:rPr>
              <w:t xml:space="preserve">得</w:t>
            </w:r>
            <w:r>
              <w:rPr>
                <w:rFonts w:hint="eastAsia" w:ascii="宋体" w:hAnsi="宋体" w:eastAsia="宋体" w:cs="宋体"/>
                <w:i w:val="0"/>
                <w:iCs w:val="0"/>
                <w:color w:val="auto"/>
                <w:sz w:val="24"/>
                <w:szCs w:val="24"/>
                <w:highlight w:val="none"/>
                <w:u w:val="none"/>
                <w:lang w:val="en-US" w:eastAsia="zh-CN" w:bidi="ar"/>
              </w:rPr>
              <w:t xml:space="preserve">1分</w:t>
            </w:r>
            <w:r>
              <w:rPr>
                <w:rFonts w:hint="eastAsia" w:ascii="宋体" w:hAnsi="宋体" w:cs="宋体"/>
                <w:i w:val="0"/>
                <w:iCs w:val="0"/>
                <w:color w:val="auto"/>
                <w:sz w:val="24"/>
                <w:szCs w:val="24"/>
                <w:highlight w:val="none"/>
                <w:u w:val="none"/>
                <w:lang w:val="en-US" w:eastAsia="zh-CN" w:bidi="ar"/>
              </w:rPr>
              <w:t xml:space="preserve">；</w:t>
            </w:r>
            <w:r/>
          </w:p>
          <w:p>
            <w:pPr>
              <w:numPr>
                <w:ilvl w:val="0"/>
                <w:numId w:val="0"/>
              </w:num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具有</w:t>
            </w:r>
            <w:r>
              <w:rPr>
                <w:rStyle w:val="662"/>
                <w:rFonts w:ascii="宋体" w:hAnsi="宋体" w:eastAsia="宋体" w:cs="宋体"/>
                <w:color w:val="auto"/>
                <w:sz w:val="24"/>
                <w:szCs w:val="24"/>
                <w:highlight w:val="none"/>
              </w:rPr>
              <w:t xml:space="preserve">人力资源社会保障部门备案的评价机构</w:t>
            </w:r>
            <w:r>
              <w:rPr>
                <w:rFonts w:ascii="宋体" w:hAnsi="宋体" w:eastAsia="宋体" w:cs="宋体"/>
                <w:color w:val="auto"/>
                <w:sz w:val="24"/>
                <w:szCs w:val="24"/>
                <w:highlight w:val="none"/>
              </w:rPr>
              <w:t xml:space="preserve">颁发《保安员职业技能等级证书》</w:t>
            </w:r>
            <w:r>
              <w:rPr>
                <w:rFonts w:hint="eastAsia" w:ascii="宋体" w:hAnsi="宋体" w:eastAsia="宋体" w:cs="宋体"/>
                <w:color w:val="auto"/>
                <w:sz w:val="24"/>
                <w:szCs w:val="24"/>
                <w:highlight w:val="none"/>
                <w:lang w:eastAsia="zh-CN"/>
              </w:rPr>
              <w:t xml:space="preserve">，</w:t>
            </w:r>
            <w:r>
              <w:rPr>
                <w:rFonts w:hint="eastAsia" w:ascii="宋体" w:hAnsi="宋体" w:cs="宋体"/>
                <w:i w:val="0"/>
                <w:iCs w:val="0"/>
                <w:color w:val="auto"/>
                <w:sz w:val="24"/>
                <w:szCs w:val="24"/>
                <w:highlight w:val="none"/>
                <w:u w:val="none"/>
                <w:lang w:val="en-US" w:eastAsia="zh-CN" w:bidi="ar"/>
              </w:rPr>
              <w:t xml:space="preserve">三级及以上的得1分，四级得0.5分，</w:t>
            </w:r>
            <w:r>
              <w:rPr>
                <w:rFonts w:hint="eastAsia" w:ascii="宋体" w:hAnsi="宋体" w:cs="宋体"/>
                <w:b/>
                <w:bCs/>
                <w:i w:val="0"/>
                <w:iCs w:val="0"/>
                <w:color w:val="auto"/>
                <w:sz w:val="24"/>
                <w:szCs w:val="24"/>
                <w:highlight w:val="none"/>
                <w:u w:val="none"/>
                <w:lang w:val="en-US" w:eastAsia="zh-CN" w:bidi="ar"/>
              </w:rPr>
              <w:t xml:space="preserve">本项</w:t>
            </w:r>
            <w:r>
              <w:rPr>
                <w:rFonts w:hint="eastAsia" w:ascii="宋体" w:hAnsi="宋体" w:eastAsia="宋体" w:cs="宋体"/>
                <w:b/>
                <w:bCs/>
                <w:i w:val="0"/>
                <w:iCs w:val="0"/>
                <w:color w:val="auto"/>
                <w:sz w:val="24"/>
                <w:szCs w:val="24"/>
                <w:highlight w:val="none"/>
                <w:u w:val="none"/>
                <w:lang w:val="en-US" w:eastAsia="zh-CN" w:bidi="ar"/>
              </w:rPr>
              <w:t xml:space="preserve">最高</w:t>
            </w:r>
            <w:r>
              <w:rPr>
                <w:rFonts w:hint="eastAsia" w:ascii="宋体" w:hAnsi="宋体" w:cs="宋体"/>
                <w:b/>
                <w:bCs/>
                <w:i w:val="0"/>
                <w:iCs w:val="0"/>
                <w:color w:val="auto"/>
                <w:sz w:val="24"/>
                <w:szCs w:val="24"/>
                <w:highlight w:val="none"/>
                <w:u w:val="none"/>
                <w:lang w:val="en-US" w:eastAsia="zh-CN" w:bidi="ar"/>
              </w:rPr>
              <w:t xml:space="preserve">1</w:t>
            </w:r>
            <w:r>
              <w:rPr>
                <w:rFonts w:hint="eastAsia" w:ascii="宋体" w:hAnsi="宋体" w:eastAsia="宋体" w:cs="宋体"/>
                <w:b/>
                <w:bCs/>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zh-CN" w:eastAsia="zh-CN" w:bidi="ar"/>
              </w:rPr>
              <w:t xml:space="preserve">；</w:t>
            </w:r>
            <w:r>
              <w:rPr>
                <w:rFonts w:hint="eastAsia" w:ascii="宋体" w:hAnsi="宋体" w:eastAsia="宋体" w:cs="宋体"/>
                <w:color w:val="auto"/>
                <w:sz w:val="24"/>
                <w:szCs w:val="24"/>
                <w:highlight w:val="none"/>
                <w:lang w:val="en-US" w:eastAsia="zh-CN"/>
              </w:rPr>
              <w:t xml:space="preserve">还须提供该证书在网站查询到的有效认证截图</w:t>
            </w:r>
            <w:r>
              <w:rPr>
                <w:rFonts w:hint="eastAsia" w:ascii="宋体" w:hAnsi="宋体" w:cs="宋体"/>
                <w:color w:val="auto"/>
                <w:sz w:val="24"/>
                <w:szCs w:val="24"/>
                <w:highlight w:val="none"/>
                <w:lang w:val="en-US" w:eastAsia="zh-CN"/>
              </w:rPr>
              <w:t xml:space="preserve">，未提供不得分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zh-CN" w:eastAsia="zh-CN" w:bidi="ar"/>
              </w:rPr>
              <w:t xml:space="preserve">具有</w:t>
            </w:r>
            <w:r>
              <w:rPr>
                <w:rStyle w:val="662"/>
                <w:rFonts w:ascii="宋体" w:hAnsi="宋体" w:eastAsia="宋体" w:cs="宋体"/>
                <w:color w:val="auto"/>
                <w:sz w:val="24"/>
                <w:szCs w:val="24"/>
                <w:highlight w:val="none"/>
              </w:rPr>
              <w:t xml:space="preserve">人社部门备案评价机构颁发的有效保卫管理员职业技能等级证书</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cs="宋体"/>
                <w:b/>
                <w:bCs/>
                <w:i w:val="0"/>
                <w:iCs w:val="0"/>
                <w:color w:val="auto"/>
                <w:sz w:val="24"/>
                <w:szCs w:val="24"/>
                <w:highlight w:val="none"/>
                <w:u w:val="none"/>
                <w:lang w:val="en-US" w:eastAsia="zh-CN" w:bidi="ar"/>
              </w:rPr>
              <w:t xml:space="preserve">得1分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val="en-US" w:eastAsia="zh-CN"/>
              </w:rPr>
              <w:t xml:space="preserve">还须提供该证书在网站查询到的有效认证截图</w:t>
            </w:r>
            <w:r>
              <w:rPr>
                <w:rFonts w:hint="eastAsia" w:ascii="宋体" w:hAnsi="宋体" w:cs="宋体"/>
                <w:color w:val="auto"/>
                <w:sz w:val="24"/>
                <w:szCs w:val="24"/>
                <w:highlight w:val="none"/>
                <w:lang w:val="en-US" w:eastAsia="zh-CN"/>
              </w:rPr>
              <w:t xml:space="preserve">，未提供不得分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numPr>
                <w:ilvl w:val="0"/>
                <w:numId w:val="0"/>
              </w:num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(上述</w:t>
            </w:r>
            <w:r>
              <w:rPr>
                <w:rFonts w:hint="eastAsia" w:ascii="宋体" w:hAnsi="宋体" w:cs="宋体"/>
                <w:b/>
                <w:bCs/>
                <w:i w:val="0"/>
                <w:iCs w:val="0"/>
                <w:color w:val="auto"/>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项须提供证书</w:t>
            </w:r>
            <w:r>
              <w:rPr>
                <w:rFonts w:hint="eastAsia" w:ascii="宋体" w:hAnsi="宋体" w:cs="宋体"/>
                <w:b/>
                <w:bCs/>
                <w:i w:val="0"/>
                <w:iCs w:val="0"/>
                <w:color w:val="auto"/>
                <w:sz w:val="24"/>
                <w:szCs w:val="24"/>
                <w:highlight w:val="none"/>
                <w:u w:val="none"/>
                <w:lang w:val="en-US" w:eastAsia="zh-CN" w:bidi="ar"/>
              </w:rPr>
              <w:t xml:space="preserve">（证明材料）原件扫描件</w:t>
            </w:r>
            <w:r>
              <w:rPr>
                <w:rFonts w:hint="eastAsia" w:ascii="宋体" w:hAnsi="宋体" w:eastAsia="宋体" w:cs="宋体"/>
                <w:b/>
                <w:bCs/>
                <w:i w:val="0"/>
                <w:iCs w:val="0"/>
                <w:color w:val="auto"/>
                <w:sz w:val="24"/>
                <w:szCs w:val="24"/>
                <w:highlight w:val="none"/>
                <w:u w:val="none"/>
                <w:lang w:val="en-US" w:eastAsia="zh-CN" w:bidi="ar"/>
              </w:rPr>
              <w:t xml:space="preserve">加盖投标单位公章及投标人为其缴纳的近</w:t>
            </w: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个月内</w:t>
            </w:r>
            <w:r>
              <w:rPr>
                <w:rFonts w:hint="eastAsia" w:ascii="宋体" w:hAnsi="宋体" w:cs="宋体"/>
                <w:b/>
                <w:bCs/>
                <w:i w:val="0"/>
                <w:iCs w:val="0"/>
                <w:color w:val="auto"/>
                <w:sz w:val="24"/>
                <w:szCs w:val="24"/>
                <w:highlight w:val="none"/>
                <w:u w:val="none"/>
                <w:lang w:val="en-US" w:eastAsia="zh-CN" w:bidi="ar"/>
              </w:rPr>
              <w:t xml:space="preserve">任意1</w:t>
            </w:r>
            <w:r>
              <w:rPr>
                <w:rFonts w:hint="eastAsia" w:ascii="宋体" w:hAnsi="宋体" w:eastAsia="宋体" w:cs="宋体"/>
                <w:b/>
                <w:bCs/>
                <w:i w:val="0"/>
                <w:iCs w:val="0"/>
                <w:color w:val="auto"/>
                <w:sz w:val="24"/>
                <w:szCs w:val="24"/>
                <w:highlight w:val="none"/>
                <w:u w:val="none"/>
                <w:lang w:val="en-US" w:eastAsia="zh-CN" w:bidi="ar"/>
              </w:rPr>
              <w:t xml:space="preserve">个月的社会保险证明材料)；</w:t>
            </w:r>
            <w:r/>
          </w:p>
          <w:p>
            <w:pPr>
              <w:pStyle w:val="647"/>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lang w:val="en-US" w:eastAsia="zh-CN" w:bidi="ar"/>
              </w:rPr>
              <w:t xml:space="preserve">（</w:t>
            </w:r>
            <w:r>
              <w:rPr>
                <w:rFonts w:hint="eastAsia" w:hAnsi="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在社会安全保障或社会公益活动中</w:t>
            </w:r>
            <w:r>
              <w:rPr>
                <w:rFonts w:hint="eastAsia" w:hAnsi="宋体" w:cs="宋体"/>
                <w:i w:val="0"/>
                <w:iCs w:val="0"/>
                <w:color w:val="auto"/>
                <w:sz w:val="24"/>
                <w:szCs w:val="24"/>
                <w:highlight w:val="none"/>
                <w:u w:val="none"/>
                <w:lang w:val="en-US" w:eastAsia="zh-CN" w:bidi="ar"/>
              </w:rPr>
              <w:t xml:space="preserve">获得</w:t>
            </w:r>
            <w:r>
              <w:rPr>
                <w:rFonts w:ascii="宋体" w:hAnsi="宋体" w:eastAsia="宋体" w:cs="宋体"/>
                <w:color w:val="auto"/>
                <w:sz w:val="24"/>
                <w:szCs w:val="24"/>
                <w:highlight w:val="none"/>
              </w:rPr>
              <w:t xml:space="preserve">党政机关正式表彰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i w:val="0"/>
                <w:iCs w:val="0"/>
                <w:color w:val="auto"/>
                <w:sz w:val="24"/>
                <w:szCs w:val="24"/>
                <w:highlight w:val="none"/>
                <w:u w:val="none"/>
                <w:lang w:val="en-US" w:eastAsia="zh-CN" w:bidi="ar"/>
              </w:rPr>
              <w:t xml:space="preserve">，国家级的得</w:t>
            </w:r>
            <w:r>
              <w:rPr>
                <w:rFonts w:hint="eastAsia"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分，省级的得</w:t>
            </w:r>
            <w:r>
              <w:rPr>
                <w:rFonts w:hint="eastAsia"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分；地市级的得</w:t>
            </w:r>
            <w:r>
              <w:rPr>
                <w:rFonts w:hint="eastAsia"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分，县区级得</w:t>
            </w:r>
            <w:r>
              <w:rPr>
                <w:rFonts w:hint="eastAsia"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分，没有不得分</w:t>
            </w:r>
            <w:r>
              <w:rPr>
                <w:rFonts w:hint="eastAsia" w:hAnsi="宋体" w:cs="宋体"/>
                <w:i w:val="0"/>
                <w:iCs w:val="0"/>
                <w:color w:val="auto"/>
                <w:sz w:val="24"/>
                <w:szCs w:val="24"/>
                <w:highlight w:val="none"/>
                <w:u w:val="none"/>
                <w:lang w:val="en-US" w:eastAsia="zh-CN" w:bidi="ar"/>
              </w:rPr>
              <w:t xml:space="preserve">，按</w:t>
            </w:r>
            <w:r>
              <w:rPr>
                <w:rFonts w:ascii="宋体" w:hAnsi="宋体" w:eastAsia="宋体" w:cs="宋体"/>
                <w:color w:val="auto"/>
                <w:sz w:val="24"/>
                <w:szCs w:val="24"/>
                <w:highlight w:val="none"/>
              </w:rPr>
              <w:t xml:space="preserve">所取得的最高等级 1 项表彰计分，不重复、不累计叠加计分，</w:t>
            </w:r>
            <w:r>
              <w:rPr>
                <w:rFonts w:ascii="宋体" w:hAnsi="宋体" w:eastAsia="宋体" w:cs="宋体"/>
                <w:b/>
                <w:bCs/>
                <w:color w:val="auto"/>
                <w:sz w:val="24"/>
                <w:szCs w:val="24"/>
                <w:highlight w:val="none"/>
              </w:rPr>
              <w:t xml:space="preserve">本项最高得 3 分</w:t>
            </w:r>
            <w:r>
              <w:rPr>
                <w:rFonts w:hint="eastAsia" w:ascii="宋体" w:hAnsi="宋体" w:eastAsia="宋体" w:cs="宋体"/>
                <w:color w:val="auto"/>
                <w:sz w:val="24"/>
                <w:szCs w:val="24"/>
                <w:highlight w:val="none"/>
                <w:lang w:eastAsia="zh-CN"/>
              </w:rPr>
              <w:t xml:space="preserve">。</w:t>
            </w:r>
            <w:r/>
          </w:p>
          <w:p>
            <w:pPr>
              <w:pStyle w:val="647"/>
              <w:numPr>
                <w:ilvl w:val="0"/>
                <w:numId w:val="0"/>
              </w:numPr>
              <w:rPr>
                <w:rFonts w:hint="eastAsia" w:ascii="宋体" w:hAnsi="宋体" w:eastAsia="宋体" w:cs="宋体"/>
                <w:color w:val="auto"/>
                <w:sz w:val="21"/>
                <w:szCs w:val="21"/>
                <w:highlight w:val="none"/>
                <w:lang w:val="zh-CN" w:eastAsia="zh-CN" w:bidi="ar-SA"/>
              </w:rPr>
            </w:pPr>
            <w:r>
              <w:rPr>
                <w:rFonts w:hint="eastAsia" w:ascii="宋体" w:hAnsi="宋体" w:eastAsia="宋体" w:cs="宋体"/>
                <w:b/>
                <w:bCs/>
                <w:i w:val="0"/>
                <w:iCs w:val="0"/>
                <w:color w:val="auto"/>
                <w:sz w:val="24"/>
                <w:szCs w:val="24"/>
                <w:highlight w:val="none"/>
                <w:u w:val="none"/>
                <w:lang w:val="en-US" w:eastAsia="zh-CN" w:bidi="ar"/>
              </w:rPr>
              <w:t xml:space="preserve">（须提供相关表彰文件或荣誉证书</w:t>
            </w:r>
            <w:r>
              <w:rPr>
                <w:rFonts w:hint="eastAsia" w:hAnsi="宋体" w:cs="宋体"/>
                <w:b/>
                <w:bCs/>
                <w:i w:val="0"/>
                <w:iCs w:val="0"/>
                <w:color w:val="auto"/>
                <w:sz w:val="24"/>
                <w:szCs w:val="24"/>
                <w:highlight w:val="none"/>
                <w:u w:val="none"/>
                <w:lang w:val="en-US" w:eastAsia="zh-CN" w:bidi="ar"/>
              </w:rPr>
              <w:t xml:space="preserve">原件扫描件</w:t>
            </w:r>
            <w:r>
              <w:rPr>
                <w:rFonts w:hint="eastAsia" w:ascii="宋体" w:hAnsi="宋体" w:eastAsia="宋体" w:cs="宋体"/>
                <w:b/>
                <w:bCs/>
                <w:i w:val="0"/>
                <w:iCs w:val="0"/>
                <w:color w:val="auto"/>
                <w:sz w:val="24"/>
                <w:szCs w:val="24"/>
                <w:highlight w:val="none"/>
                <w:u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拟派项目组成员（</w:t>
            </w:r>
            <w:r>
              <w:rPr>
                <w:rFonts w:hint="eastAsia" w:ascii="宋体" w:hAnsi="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项目组成员资质、经验：</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.投标人</w:t>
            </w:r>
            <w:r>
              <w:rPr>
                <w:rFonts w:hint="eastAsia" w:ascii="宋体" w:hAnsi="宋体" w:eastAsia="宋体" w:cs="宋体"/>
                <w:i w:val="0"/>
                <w:iCs w:val="0"/>
                <w:color w:val="auto"/>
                <w:sz w:val="24"/>
                <w:szCs w:val="24"/>
                <w:highlight w:val="none"/>
                <w:u w:val="none"/>
                <w:lang w:val="zh-CN" w:eastAsia="zh-CN" w:bidi="ar"/>
              </w:rPr>
              <w:t xml:space="preserve">拟投入本项目的保安人员中</w:t>
            </w:r>
            <w:r>
              <w:rPr>
                <w:rFonts w:hint="eastAsia" w:ascii="宋体" w:hAnsi="宋体" w:eastAsia="宋体" w:cs="宋体"/>
                <w:i w:val="0"/>
                <w:iCs w:val="0"/>
                <w:color w:val="auto"/>
                <w:sz w:val="24"/>
                <w:szCs w:val="24"/>
                <w:highlight w:val="none"/>
                <w:u w:val="none"/>
                <w:lang w:val="en-US" w:eastAsia="zh-CN" w:bidi="ar"/>
              </w:rPr>
              <w:t xml:space="preserve">具有</w:t>
            </w:r>
            <w:r>
              <w:rPr>
                <w:rStyle w:val="662"/>
                <w:rFonts w:ascii="宋体" w:hAnsi="宋体" w:eastAsia="宋体" w:cs="宋体"/>
                <w:color w:val="auto"/>
                <w:sz w:val="24"/>
                <w:szCs w:val="24"/>
                <w:highlight w:val="none"/>
              </w:rPr>
              <w:t xml:space="preserve">人力资源社会保障部门备案的评价机构</w:t>
            </w:r>
            <w:r>
              <w:rPr>
                <w:rFonts w:ascii="宋体" w:hAnsi="宋体" w:eastAsia="宋体" w:cs="宋体"/>
                <w:color w:val="auto"/>
                <w:sz w:val="24"/>
                <w:szCs w:val="24"/>
                <w:highlight w:val="none"/>
              </w:rPr>
              <w:t xml:space="preserve">颁发</w:t>
            </w:r>
            <w:r>
              <w:rPr>
                <w:rFonts w:hint="eastAsia" w:ascii="宋体" w:hAnsi="宋体" w:eastAsia="宋体" w:cs="宋体"/>
                <w:color w:val="auto"/>
                <w:sz w:val="24"/>
                <w:szCs w:val="24"/>
                <w:highlight w:val="none"/>
                <w:lang w:eastAsia="zh-CN"/>
              </w:rPr>
              <w:t xml:space="preserve">的有效</w:t>
            </w:r>
            <w:r>
              <w:rPr>
                <w:rFonts w:ascii="宋体" w:hAnsi="宋体" w:eastAsia="宋体" w:cs="宋体"/>
                <w:color w:val="auto"/>
                <w:sz w:val="24"/>
                <w:szCs w:val="24"/>
                <w:highlight w:val="none"/>
              </w:rPr>
              <w:t xml:space="preserve">《保安员职业技能等级证书》</w:t>
            </w:r>
            <w:r>
              <w:rPr>
                <w:rFonts w:hint="eastAsia" w:ascii="宋体" w:hAnsi="宋体" w:eastAsia="宋体" w:cs="宋体"/>
                <w:color w:val="auto"/>
                <w:sz w:val="24"/>
                <w:szCs w:val="24"/>
                <w:highlight w:val="none"/>
                <w:lang w:eastAsia="zh-CN"/>
              </w:rPr>
              <w:t xml:space="preserve">，</w:t>
            </w:r>
            <w:r>
              <w:rPr>
                <w:rFonts w:hint="eastAsia" w:ascii="宋体" w:hAnsi="宋体" w:cs="宋体"/>
                <w:i w:val="0"/>
                <w:iCs w:val="0"/>
                <w:color w:val="auto"/>
                <w:sz w:val="24"/>
                <w:szCs w:val="24"/>
                <w:highlight w:val="none"/>
                <w:u w:val="none"/>
                <w:lang w:val="en-US" w:eastAsia="zh-CN" w:bidi="ar"/>
              </w:rPr>
              <w:t xml:space="preserve">三级及以上的得1分，四级得0.5分，本项</w:t>
            </w:r>
            <w:r>
              <w:rPr>
                <w:rFonts w:hint="eastAsia" w:ascii="宋体" w:hAnsi="宋体" w:eastAsia="宋体" w:cs="宋体"/>
                <w:b/>
                <w:bCs/>
                <w:i w:val="0"/>
                <w:iCs w:val="0"/>
                <w:color w:val="auto"/>
                <w:sz w:val="24"/>
                <w:szCs w:val="24"/>
                <w:highlight w:val="none"/>
                <w:u w:val="none"/>
                <w:lang w:val="en-US" w:eastAsia="zh-CN" w:bidi="ar"/>
              </w:rPr>
              <w:t xml:space="preserve">最高</w:t>
            </w: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zh-CN" w:eastAsia="zh-CN" w:bidi="ar"/>
              </w:rPr>
              <w:t xml:space="preserve">；</w:t>
            </w:r>
            <w:r>
              <w:rPr>
                <w:rFonts w:hint="eastAsia" w:ascii="宋体" w:hAnsi="宋体" w:eastAsia="宋体" w:cs="宋体"/>
                <w:color w:val="auto"/>
                <w:sz w:val="24"/>
                <w:szCs w:val="24"/>
                <w:highlight w:val="none"/>
                <w:lang w:val="en-US" w:eastAsia="zh-CN"/>
              </w:rPr>
              <w:t xml:space="preserve">还须提供该证书在网站查询到的有效认证截图</w:t>
            </w:r>
            <w:r>
              <w:rPr>
                <w:rFonts w:hint="eastAsia" w:ascii="宋体" w:hAnsi="宋体" w:cs="宋体"/>
                <w:color w:val="auto"/>
                <w:sz w:val="24"/>
                <w:szCs w:val="24"/>
                <w:highlight w:val="none"/>
                <w:lang w:val="en-US" w:eastAsia="zh-CN"/>
              </w:rPr>
              <w:t xml:space="preserve">，未提供不得分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投标人</w:t>
            </w:r>
            <w:r>
              <w:rPr>
                <w:rFonts w:hint="eastAsia" w:ascii="宋体" w:hAnsi="宋体" w:eastAsia="宋体" w:cs="宋体"/>
                <w:i w:val="0"/>
                <w:iCs w:val="0"/>
                <w:color w:val="auto"/>
                <w:sz w:val="24"/>
                <w:szCs w:val="24"/>
                <w:highlight w:val="none"/>
                <w:u w:val="none"/>
                <w:lang w:val="zh-CN" w:eastAsia="zh-CN" w:bidi="ar"/>
              </w:rPr>
              <w:t xml:space="preserve">拟投入本项目的保安人员中具有</w:t>
            </w:r>
            <w:r>
              <w:rPr>
                <w:rFonts w:ascii="宋体" w:hAnsi="宋体" w:eastAsia="宋体" w:cs="宋体"/>
                <w:b/>
                <w:bCs/>
                <w:color w:val="auto"/>
                <w:sz w:val="24"/>
                <w:szCs w:val="24"/>
                <w:highlight w:val="none"/>
              </w:rPr>
              <w:t xml:space="preserve">应急管理部门颁发的有效《应急救援员》国家职业资格证书</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四级及以上的得1分，五级得0.5分，</w:t>
            </w:r>
            <w:r>
              <w:rPr>
                <w:rFonts w:hint="eastAsia" w:ascii="宋体" w:hAnsi="宋体" w:cs="宋体"/>
                <w:b/>
                <w:bCs/>
                <w:i w:val="0"/>
                <w:iCs w:val="0"/>
                <w:color w:val="auto"/>
                <w:sz w:val="24"/>
                <w:szCs w:val="24"/>
                <w:highlight w:val="none"/>
                <w:u w:val="none"/>
                <w:lang w:val="en-US" w:eastAsia="zh-CN" w:bidi="ar"/>
              </w:rPr>
              <w:t xml:space="preserve">本项</w:t>
            </w:r>
            <w:r>
              <w:rPr>
                <w:rFonts w:hint="eastAsia" w:ascii="宋体" w:hAnsi="宋体" w:eastAsia="宋体" w:cs="宋体"/>
                <w:b/>
                <w:bCs/>
                <w:i w:val="0"/>
                <w:iCs w:val="0"/>
                <w:color w:val="auto"/>
                <w:sz w:val="24"/>
                <w:szCs w:val="24"/>
                <w:highlight w:val="none"/>
                <w:u w:val="none"/>
                <w:lang w:val="en-US" w:eastAsia="zh-CN" w:bidi="ar"/>
              </w:rPr>
              <w:t xml:space="preserve">最高</w:t>
            </w: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val="en-US" w:eastAsia="zh-CN"/>
              </w:rPr>
              <w:t xml:space="preserve">还须提供该证书在网站查询到的有效认证截图</w:t>
            </w:r>
            <w:r>
              <w:rPr>
                <w:rFonts w:hint="eastAsia" w:ascii="宋体" w:hAnsi="宋体" w:cs="宋体"/>
                <w:color w:val="auto"/>
                <w:sz w:val="24"/>
                <w:szCs w:val="24"/>
                <w:highlight w:val="none"/>
                <w:lang w:val="en-US" w:eastAsia="zh-CN"/>
              </w:rPr>
              <w:t xml:space="preserve">，未提供不得分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w:t>
            </w:r>
            <w:r>
              <w:rPr>
                <w:rFonts w:ascii="宋体" w:hAnsi="宋体" w:eastAsia="宋体" w:cs="宋体"/>
                <w:color w:val="auto"/>
                <w:sz w:val="24"/>
                <w:szCs w:val="24"/>
                <w:highlight w:val="none"/>
              </w:rPr>
              <w:t xml:space="preserve">投标人拟投入本项目保安人员中</w:t>
            </w:r>
            <w:r>
              <w:rPr>
                <w:rFonts w:hint="eastAsia" w:ascii="宋体" w:hAnsi="宋体" w:eastAsia="宋体" w:cs="宋体"/>
                <w:i w:val="0"/>
                <w:iCs w:val="0"/>
                <w:color w:val="auto"/>
                <w:sz w:val="24"/>
                <w:szCs w:val="24"/>
                <w:highlight w:val="none"/>
                <w:u w:val="none"/>
                <w:lang w:val="zh-CN" w:eastAsia="zh-CN" w:bidi="ar"/>
              </w:rPr>
              <w:t xml:space="preserve">具有</w:t>
            </w:r>
            <w:r>
              <w:rPr>
                <w:rStyle w:val="662"/>
                <w:rFonts w:ascii="宋体" w:hAnsi="宋体" w:eastAsia="宋体" w:cs="宋体"/>
                <w:color w:val="auto"/>
                <w:sz w:val="24"/>
                <w:szCs w:val="24"/>
                <w:highlight w:val="none"/>
              </w:rPr>
              <w:t xml:space="preserve">人社部门备案评价机构颁发的有效保卫管理员职业技能等级证书</w:t>
            </w:r>
            <w:r>
              <w:rPr>
                <w:rFonts w:ascii="宋体" w:hAnsi="宋体" w:eastAsia="宋体" w:cs="宋体"/>
                <w:color w:val="auto"/>
                <w:sz w:val="24"/>
                <w:szCs w:val="24"/>
                <w:highlight w:val="none"/>
              </w:rPr>
              <w:t xml:space="preserve">，</w:t>
            </w:r>
            <w:r>
              <w:rPr>
                <w:rFonts w:hint="eastAsia" w:ascii="宋体" w:hAnsi="宋体" w:cs="宋体"/>
                <w:i w:val="0"/>
                <w:iCs w:val="0"/>
                <w:color w:val="auto"/>
                <w:sz w:val="24"/>
                <w:szCs w:val="24"/>
                <w:highlight w:val="none"/>
                <w:u w:val="none"/>
                <w:lang w:val="en-US" w:eastAsia="zh-CN" w:bidi="ar"/>
              </w:rPr>
              <w:t xml:space="preserve">二级及以上的得1分，三级得0.5分，</w:t>
            </w:r>
            <w:r>
              <w:rPr>
                <w:rFonts w:hint="eastAsia" w:ascii="宋体" w:hAnsi="宋体" w:cs="宋体"/>
                <w:b/>
                <w:bCs/>
                <w:i w:val="0"/>
                <w:iCs w:val="0"/>
                <w:color w:val="auto"/>
                <w:sz w:val="24"/>
                <w:szCs w:val="24"/>
                <w:highlight w:val="none"/>
                <w:u w:val="none"/>
                <w:lang w:val="en-US" w:eastAsia="zh-CN" w:bidi="ar"/>
              </w:rPr>
              <w:t xml:space="preserve">本项</w:t>
            </w:r>
            <w:r>
              <w:rPr>
                <w:rFonts w:hint="eastAsia" w:ascii="宋体" w:hAnsi="宋体" w:eastAsia="宋体" w:cs="宋体"/>
                <w:b/>
                <w:bCs/>
                <w:i w:val="0"/>
                <w:iCs w:val="0"/>
                <w:color w:val="auto"/>
                <w:sz w:val="24"/>
                <w:szCs w:val="24"/>
                <w:highlight w:val="none"/>
                <w:u w:val="none"/>
                <w:lang w:val="en-US" w:eastAsia="zh-CN" w:bidi="ar"/>
              </w:rPr>
              <w:t xml:space="preserve">最高</w:t>
            </w: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val="en-US" w:eastAsia="zh-CN"/>
              </w:rPr>
              <w:t xml:space="preserve">还须提供该证书在网站查询到的有效认证截图</w:t>
            </w:r>
            <w:r>
              <w:rPr>
                <w:rFonts w:hint="eastAsia" w:ascii="宋体" w:hAnsi="宋体" w:cs="宋体"/>
                <w:color w:val="auto"/>
                <w:sz w:val="24"/>
                <w:szCs w:val="24"/>
                <w:highlight w:val="none"/>
                <w:lang w:val="en-US" w:eastAsia="zh-CN"/>
              </w:rPr>
              <w:t xml:space="preserve">，未提供不得分</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u w:val="none"/>
                <w:lang w:val="en-US" w:eastAsia="zh-CN" w:bidi="ar"/>
              </w:rPr>
              <w:t xml:space="preserve">投标人</w:t>
            </w:r>
            <w:r>
              <w:rPr>
                <w:rFonts w:hint="eastAsia" w:ascii="宋体" w:hAnsi="宋体" w:eastAsia="宋体" w:cs="宋体"/>
                <w:i w:val="0"/>
                <w:iCs w:val="0"/>
                <w:color w:val="auto"/>
                <w:sz w:val="24"/>
                <w:szCs w:val="24"/>
                <w:highlight w:val="none"/>
                <w:u w:val="none"/>
                <w:lang w:val="zh-CN" w:eastAsia="zh-CN" w:bidi="ar"/>
              </w:rPr>
              <w:t xml:space="preserve">拟投入本项目的保安人员中</w:t>
            </w:r>
            <w:r>
              <w:rPr>
                <w:rFonts w:hint="eastAsia" w:ascii="宋体" w:hAnsi="宋体" w:eastAsia="宋体" w:cs="宋体"/>
                <w:color w:val="auto"/>
                <w:sz w:val="24"/>
                <w:szCs w:val="24"/>
                <w:highlight w:val="none"/>
                <w:lang w:eastAsia="zh-CN"/>
              </w:rPr>
              <w:t xml:space="preserve">具</w:t>
            </w:r>
            <w:r>
              <w:rPr>
                <w:rFonts w:ascii="宋体" w:hAnsi="宋体" w:eastAsia="宋体" w:cs="宋体"/>
                <w:color w:val="auto"/>
                <w:sz w:val="24"/>
                <w:szCs w:val="24"/>
                <w:highlight w:val="none"/>
              </w:rPr>
              <w:t xml:space="preserve">有</w:t>
            </w:r>
            <w:r>
              <w:rPr>
                <w:rStyle w:val="662"/>
                <w:rFonts w:ascii="宋体" w:hAnsi="宋体" w:eastAsia="宋体" w:cs="宋体"/>
                <w:color w:val="auto"/>
                <w:sz w:val="24"/>
                <w:szCs w:val="24"/>
                <w:highlight w:val="none"/>
              </w:rPr>
              <w:t xml:space="preserve">消防行业职业技能鉴定机构颁发</w:t>
            </w:r>
            <w:r>
              <w:rPr>
                <w:rFonts w:ascii="宋体" w:hAnsi="宋体" w:eastAsia="宋体" w:cs="宋体"/>
                <w:color w:val="auto"/>
                <w:sz w:val="24"/>
                <w:szCs w:val="24"/>
                <w:highlight w:val="none"/>
              </w:rPr>
              <w:t xml:space="preserve">的有效</w:t>
            </w:r>
            <w:r>
              <w:rPr>
                <w:rStyle w:val="662"/>
                <w:rFonts w:ascii="宋体" w:hAnsi="宋体" w:eastAsia="宋体" w:cs="宋体"/>
                <w:color w:val="auto"/>
                <w:sz w:val="24"/>
                <w:szCs w:val="24"/>
                <w:highlight w:val="none"/>
              </w:rPr>
              <w:t xml:space="preserve">消防设施操作员</w:t>
            </w:r>
            <w:r>
              <w:rPr>
                <w:rStyle w:val="662"/>
                <w:rFonts w:hint="eastAsia" w:ascii="宋体" w:hAnsi="宋体" w:cs="宋体"/>
                <w:color w:val="auto"/>
                <w:sz w:val="24"/>
                <w:szCs w:val="24"/>
                <w:highlight w:val="none"/>
                <w:lang w:eastAsia="zh-CN"/>
              </w:rPr>
              <w:t xml:space="preserve">三</w:t>
            </w:r>
            <w:r>
              <w:rPr>
                <w:rStyle w:val="662"/>
                <w:rFonts w:ascii="宋体" w:hAnsi="宋体" w:eastAsia="宋体" w:cs="宋体"/>
                <w:color w:val="auto"/>
                <w:sz w:val="24"/>
                <w:szCs w:val="24"/>
                <w:highlight w:val="none"/>
              </w:rPr>
              <w:t xml:space="preserve">级</w:t>
            </w:r>
            <w:r>
              <w:rPr>
                <w:rStyle w:val="662"/>
                <w:rFonts w:hint="eastAsia" w:ascii="宋体" w:hAnsi="宋体" w:eastAsia="宋体" w:cs="宋体"/>
                <w:color w:val="auto"/>
                <w:sz w:val="24"/>
                <w:szCs w:val="24"/>
                <w:highlight w:val="none"/>
                <w:lang w:eastAsia="zh-CN"/>
              </w:rPr>
              <w:t xml:space="preserve">及以上</w:t>
            </w:r>
            <w:r>
              <w:rPr>
                <w:rFonts w:ascii="宋体" w:hAnsi="宋体" w:eastAsia="宋体" w:cs="宋体"/>
                <w:color w:val="auto"/>
                <w:sz w:val="24"/>
                <w:szCs w:val="24"/>
                <w:highlight w:val="none"/>
              </w:rPr>
              <w:t xml:space="preserve">证书，得 1 分； 持有上述机构颁发的有效</w:t>
            </w:r>
            <w:r>
              <w:rPr>
                <w:rStyle w:val="662"/>
                <w:rFonts w:ascii="宋体" w:hAnsi="宋体" w:eastAsia="宋体" w:cs="宋体"/>
                <w:color w:val="auto"/>
                <w:sz w:val="24"/>
                <w:szCs w:val="24"/>
                <w:highlight w:val="none"/>
              </w:rPr>
              <w:t xml:space="preserve">消防设施操作员四级</w:t>
            </w:r>
            <w:r>
              <w:rPr>
                <w:rFonts w:ascii="宋体" w:hAnsi="宋体" w:eastAsia="宋体" w:cs="宋体"/>
                <w:color w:val="auto"/>
                <w:sz w:val="24"/>
                <w:szCs w:val="24"/>
                <w:highlight w:val="none"/>
              </w:rPr>
              <w:t xml:space="preserve">证书，得 0.5 分</w:t>
            </w:r>
            <w:r>
              <w:rPr>
                <w:rFonts w:hint="eastAsia" w:ascii="宋体" w:hAnsi="宋体" w:eastAsia="宋体" w:cs="宋体"/>
                <w:color w:val="auto"/>
                <w:sz w:val="24"/>
                <w:szCs w:val="24"/>
                <w:highlight w:val="none"/>
                <w:lang w:eastAsia="zh-CN"/>
              </w:rPr>
              <w:t xml:space="preserve">，</w:t>
            </w:r>
            <w:r>
              <w:rPr>
                <w:rFonts w:hint="eastAsia" w:ascii="宋体" w:hAnsi="宋体" w:cs="宋体"/>
                <w:b/>
                <w:bCs/>
                <w:i w:val="0"/>
                <w:iCs w:val="0"/>
                <w:color w:val="auto"/>
                <w:sz w:val="24"/>
                <w:szCs w:val="24"/>
                <w:highlight w:val="none"/>
                <w:u w:val="none"/>
                <w:lang w:val="en-US" w:eastAsia="zh-CN" w:bidi="ar"/>
              </w:rPr>
              <w:t xml:space="preserve">本项</w:t>
            </w:r>
            <w:r>
              <w:rPr>
                <w:rFonts w:hint="eastAsia" w:ascii="宋体" w:hAnsi="宋体" w:eastAsia="宋体" w:cs="宋体"/>
                <w:b/>
                <w:bCs/>
                <w:i w:val="0"/>
                <w:iCs w:val="0"/>
                <w:color w:val="auto"/>
                <w:sz w:val="24"/>
                <w:szCs w:val="24"/>
                <w:highlight w:val="none"/>
                <w:u w:val="none"/>
                <w:lang w:val="en-US" w:eastAsia="zh-CN" w:bidi="ar"/>
              </w:rPr>
              <w:t xml:space="preserve">最高</w:t>
            </w: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lang w:val="en-US" w:eastAsia="zh-CN"/>
              </w:rPr>
              <w:t xml:space="preserve">还须提供该证书在网站查询到的有效认证截图</w:t>
            </w:r>
            <w:r>
              <w:rPr>
                <w:rFonts w:hint="eastAsia" w:ascii="宋体" w:hAnsi="宋体" w:cs="宋体"/>
                <w:color w:val="auto"/>
                <w:sz w:val="24"/>
                <w:szCs w:val="24"/>
                <w:highlight w:val="none"/>
                <w:lang w:val="en-US" w:eastAsia="zh-CN"/>
              </w:rPr>
              <w:t xml:space="preserve">，未提供不得分</w:t>
            </w:r>
            <w:r/>
          </w:p>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ascii="宋体" w:hAnsi="宋体" w:eastAsia="宋体" w:cs="宋体"/>
                <w:color w:val="auto"/>
                <w:sz w:val="24"/>
                <w:szCs w:val="24"/>
                <w:highlight w:val="none"/>
              </w:rPr>
              <w:t xml:space="preserve">投标人拟投入本项目保安人员中持有</w:t>
            </w:r>
            <w:r>
              <w:rPr>
                <w:rStyle w:val="662"/>
                <w:rFonts w:ascii="宋体" w:hAnsi="宋体" w:eastAsia="宋体" w:cs="宋体"/>
                <w:color w:val="auto"/>
                <w:sz w:val="24"/>
                <w:szCs w:val="24"/>
                <w:highlight w:val="none"/>
              </w:rPr>
              <w:t xml:space="preserve">中国红十字会颁发、在有效期内的红十字救护员证</w:t>
            </w:r>
            <w:r>
              <w:rPr>
                <w:rFonts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0.5</w:t>
            </w:r>
            <w:r>
              <w:rPr>
                <w:rFonts w:ascii="宋体" w:hAnsi="宋体" w:eastAsia="宋体" w:cs="宋体"/>
                <w:color w:val="auto"/>
                <w:sz w:val="24"/>
                <w:szCs w:val="24"/>
                <w:highlight w:val="none"/>
              </w:rPr>
              <w:t xml:space="preserve"> 分；</w:t>
            </w:r>
            <w:r>
              <w:rPr>
                <w:rFonts w:hint="eastAsia" w:ascii="宋体" w:hAnsi="宋体" w:cs="宋体"/>
                <w:b/>
                <w:bCs/>
                <w:i w:val="0"/>
                <w:iCs w:val="0"/>
                <w:color w:val="auto"/>
                <w:sz w:val="24"/>
                <w:szCs w:val="24"/>
                <w:highlight w:val="none"/>
                <w:u w:val="none"/>
                <w:lang w:val="en-US" w:eastAsia="zh-CN" w:bidi="ar"/>
              </w:rPr>
              <w:t xml:space="preserve">本项</w:t>
            </w:r>
            <w:r>
              <w:rPr>
                <w:rFonts w:hint="eastAsia" w:ascii="宋体" w:hAnsi="宋体" w:eastAsia="宋体" w:cs="宋体"/>
                <w:b/>
                <w:bCs/>
                <w:i w:val="0"/>
                <w:iCs w:val="0"/>
                <w:color w:val="auto"/>
                <w:sz w:val="24"/>
                <w:szCs w:val="24"/>
                <w:highlight w:val="none"/>
                <w:u w:val="none"/>
                <w:lang w:val="en-US" w:eastAsia="zh-CN" w:bidi="ar"/>
              </w:rPr>
              <w:t xml:space="preserve">最高</w:t>
            </w:r>
            <w:r>
              <w:rPr>
                <w:rFonts w:hint="eastAsia" w:ascii="宋体" w:hAnsi="宋体" w:cs="宋体"/>
                <w:b/>
                <w:bCs/>
                <w:i w:val="0"/>
                <w:iCs w:val="0"/>
                <w:color w:val="auto"/>
                <w:sz w:val="24"/>
                <w:szCs w:val="24"/>
                <w:highlight w:val="none"/>
                <w:u w:val="none"/>
                <w:lang w:val="en-US" w:eastAsia="zh-CN" w:bidi="ar"/>
              </w:rPr>
              <w:t xml:space="preserve">2</w:t>
            </w:r>
            <w:r>
              <w:rPr>
                <w:rFonts w:hint="eastAsia" w:ascii="宋体" w:hAnsi="宋体" w:eastAsia="宋体" w:cs="宋体"/>
                <w:b/>
                <w:bCs/>
                <w:i w:val="0"/>
                <w:iCs w:val="0"/>
                <w:color w:val="auto"/>
                <w:sz w:val="24"/>
                <w:szCs w:val="24"/>
                <w:highlight w:val="none"/>
                <w:u w:val="none"/>
                <w:lang w:val="en-US" w:eastAsia="zh-CN" w:bidi="ar"/>
              </w:rPr>
              <w:t xml:space="preserve">分</w:t>
            </w:r>
            <w:r>
              <w:rPr>
                <w:rFonts w:hint="eastAsia" w:ascii="宋体" w:hAnsi="宋体" w:eastAsia="宋体" w:cs="宋体"/>
                <w:i w:val="0"/>
                <w:iCs w:val="0"/>
                <w:color w:val="auto"/>
                <w:sz w:val="24"/>
                <w:szCs w:val="24"/>
                <w:highlight w:val="none"/>
                <w:u w:val="none"/>
                <w:lang w:val="en-US" w:eastAsia="zh-CN" w:bidi="ar"/>
              </w:rPr>
              <w:t xml:space="preserve">。</w:t>
            </w:r>
            <w:r/>
          </w:p>
          <w:p>
            <w:pPr>
              <w:numPr>
                <w:ilvl w:val="0"/>
                <w:numId w:val="0"/>
              </w:numPr>
              <w:ind w:left="0" w:firstLine="0"/>
              <w:rPr>
                <w:rFonts w:hint="eastAsia" w:ascii="宋体" w:hAnsi="宋体" w:eastAsia="宋体" w:cs="宋体"/>
                <w:color w:val="auto"/>
                <w:sz w:val="21"/>
                <w:szCs w:val="21"/>
                <w:highlight w:val="none"/>
                <w:lang w:val="zh-CN" w:eastAsia="zh-CN" w:bidi="ar-SA"/>
              </w:rPr>
            </w:pPr>
            <w:r>
              <w:rPr>
                <w:rFonts w:hint="eastAsia" w:ascii="宋体" w:hAnsi="宋体" w:eastAsia="宋体" w:cs="宋体"/>
                <w:i w:val="0"/>
                <w:iCs w:val="0"/>
                <w:color w:val="auto"/>
                <w:sz w:val="24"/>
                <w:szCs w:val="24"/>
                <w:highlight w:val="none"/>
                <w:u w:val="none"/>
                <w:lang w:val="zh-CN"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投标时</w:t>
            </w:r>
            <w:r>
              <w:rPr>
                <w:rFonts w:hint="eastAsia" w:ascii="宋体" w:hAnsi="宋体" w:eastAsia="宋体" w:cs="宋体"/>
                <w:i w:val="0"/>
                <w:iCs w:val="0"/>
                <w:color w:val="auto"/>
                <w:sz w:val="24"/>
                <w:szCs w:val="24"/>
                <w:highlight w:val="none"/>
                <w:u w:val="none"/>
                <w:lang w:val="zh-CN" w:eastAsia="zh-CN" w:bidi="ar"/>
              </w:rPr>
              <w:t xml:space="preserve">须提供上述相关人员</w:t>
            </w:r>
            <w:r>
              <w:rPr>
                <w:rFonts w:hint="eastAsia" w:ascii="宋体" w:hAnsi="宋体" w:eastAsia="宋体" w:cs="宋体"/>
                <w:i w:val="0"/>
                <w:iCs w:val="0"/>
                <w:color w:val="auto"/>
                <w:sz w:val="24"/>
                <w:szCs w:val="24"/>
                <w:highlight w:val="none"/>
                <w:u w:val="none"/>
                <w:lang w:val="en-US" w:eastAsia="zh-CN" w:bidi="ar"/>
              </w:rPr>
              <w:t xml:space="preserve">有效的</w:t>
            </w:r>
            <w:r>
              <w:rPr>
                <w:rFonts w:hint="eastAsia" w:ascii="宋体" w:hAnsi="宋体" w:eastAsia="宋体" w:cs="宋体"/>
                <w:i w:val="0"/>
                <w:iCs w:val="0"/>
                <w:color w:val="auto"/>
                <w:sz w:val="24"/>
                <w:szCs w:val="24"/>
                <w:highlight w:val="none"/>
                <w:u w:val="none"/>
                <w:lang w:val="zh-CN" w:eastAsia="zh-CN" w:bidi="ar"/>
              </w:rPr>
              <w:t xml:space="preserve">证书</w:t>
            </w:r>
            <w:r>
              <w:rPr>
                <w:rFonts w:hint="eastAsia" w:ascii="宋体" w:hAnsi="宋体" w:eastAsia="宋体" w:cs="宋体"/>
                <w:i w:val="0"/>
                <w:iCs w:val="0"/>
                <w:color w:val="auto"/>
                <w:sz w:val="24"/>
                <w:szCs w:val="24"/>
                <w:highlight w:val="none"/>
                <w:u w:val="none"/>
                <w:lang w:val="en-US" w:eastAsia="zh-CN" w:bidi="ar"/>
              </w:rPr>
              <w:t xml:space="preserve">扫描件或</w:t>
            </w:r>
            <w:r>
              <w:rPr>
                <w:rFonts w:hint="eastAsia" w:ascii="宋体" w:hAnsi="宋体" w:eastAsia="宋体" w:cs="宋体"/>
                <w:i w:val="0"/>
                <w:iCs w:val="0"/>
                <w:color w:val="auto"/>
                <w:sz w:val="24"/>
                <w:szCs w:val="24"/>
                <w:highlight w:val="none"/>
                <w:u w:val="none"/>
                <w:lang w:val="zh-CN" w:eastAsia="zh-CN" w:bidi="ar"/>
              </w:rPr>
              <w:t xml:space="preserve">相关证明材料</w:t>
            </w:r>
            <w:r>
              <w:rPr>
                <w:rFonts w:hint="eastAsia" w:ascii="宋体" w:hAnsi="宋体" w:eastAsia="宋体" w:cs="宋体"/>
                <w:i w:val="0"/>
                <w:iCs w:val="0"/>
                <w:color w:val="auto"/>
                <w:sz w:val="24"/>
                <w:szCs w:val="24"/>
                <w:highlight w:val="none"/>
                <w:u w:val="none"/>
                <w:lang w:val="en-US" w:eastAsia="zh-CN" w:bidi="ar"/>
              </w:rPr>
              <w:t xml:space="preserve">扫描件</w:t>
            </w:r>
            <w:r>
              <w:rPr>
                <w:rFonts w:hint="eastAsia" w:ascii="宋体" w:hAnsi="宋体" w:eastAsia="宋体" w:cs="宋体"/>
                <w:i w:val="0"/>
                <w:iCs w:val="0"/>
                <w:color w:val="auto"/>
                <w:sz w:val="24"/>
                <w:szCs w:val="24"/>
                <w:highlight w:val="none"/>
                <w:u w:val="none"/>
                <w:lang w:val="zh-CN" w:eastAsia="zh-CN" w:bidi="ar"/>
              </w:rPr>
              <w:t xml:space="preserve">加盖投标单位公章及</w:t>
            </w:r>
            <w:r>
              <w:rPr>
                <w:rFonts w:hint="eastAsia" w:ascii="宋体" w:hAnsi="宋体" w:eastAsia="宋体" w:cs="宋体"/>
                <w:i w:val="0"/>
                <w:iCs w:val="0"/>
                <w:color w:val="auto"/>
                <w:sz w:val="24"/>
                <w:szCs w:val="24"/>
                <w:highlight w:val="none"/>
                <w:u w:val="none"/>
                <w:lang w:val="en-US" w:eastAsia="zh-CN" w:bidi="ar"/>
              </w:rPr>
              <w:t xml:space="preserve">投标人</w:t>
            </w:r>
            <w:r>
              <w:rPr>
                <w:rFonts w:hint="eastAsia" w:ascii="宋体" w:hAnsi="宋体" w:eastAsia="宋体" w:cs="宋体"/>
                <w:i w:val="0"/>
                <w:iCs w:val="0"/>
                <w:color w:val="auto"/>
                <w:sz w:val="24"/>
                <w:szCs w:val="24"/>
                <w:highlight w:val="none"/>
                <w:u w:val="none"/>
                <w:lang w:val="zh-CN" w:eastAsia="zh-CN" w:bidi="ar"/>
              </w:rPr>
              <w:t xml:space="preserve">为其缴纳的近</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zh-CN" w:eastAsia="zh-CN" w:bidi="ar"/>
              </w:rPr>
              <w:t xml:space="preserve">个月内任意</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zh-CN" w:eastAsia="zh-CN" w:bidi="ar"/>
              </w:rPr>
              <w:t xml:space="preserve">个月的社会保险证明材料(退休人员不予认可)）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16</w:t>
            </w:r>
            <w:r/>
          </w:p>
        </w:tc>
      </w:tr>
      <w:tr>
        <w:trPr>
          <w:trHeight w:val="7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8" w:type="dxa"/>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4"/>
                <w:szCs w:val="24"/>
                <w:highlight w:val="none"/>
                <w:u w:val="none"/>
                <w:lang w:val="en-US" w:eastAsia="zh-CN" w:bidi="ar"/>
              </w:rPr>
              <w:t xml:space="preserve">三、技术评审（</w:t>
            </w:r>
            <w:r>
              <w:rPr>
                <w:rFonts w:hint="eastAsia" w:ascii="宋体" w:hAnsi="宋体" w:cs="宋体"/>
                <w:b/>
                <w:bCs/>
                <w:i w:val="0"/>
                <w:iCs w:val="0"/>
                <w:color w:val="auto"/>
                <w:sz w:val="24"/>
                <w:szCs w:val="24"/>
                <w:highlight w:val="none"/>
                <w:u w:val="none"/>
                <w:lang w:val="en-US" w:eastAsia="zh-CN" w:bidi="ar"/>
              </w:rPr>
              <w:t xml:space="preserve">46</w:t>
            </w:r>
            <w:r>
              <w:rPr>
                <w:rFonts w:hint="eastAsia" w:ascii="宋体" w:hAnsi="宋体" w:eastAsia="宋体" w:cs="宋体"/>
                <w:b/>
                <w:bCs/>
                <w:i w:val="0"/>
                <w:iCs w:val="0"/>
                <w:color w:val="auto"/>
                <w:sz w:val="24"/>
                <w:szCs w:val="24"/>
                <w:highlight w:val="none"/>
                <w:u w:val="none"/>
                <w:lang w:val="en-US" w:eastAsia="zh-CN" w:bidi="ar"/>
              </w:rPr>
              <w:t xml:space="preserve">分）</w:t>
            </w:r>
            <w:r/>
          </w:p>
        </w:tc>
      </w:tr>
      <w:tr>
        <w:trPr>
          <w:trHeight w:val="950"/>
        </w:trPr>
        <w:tc>
          <w:tcPr>
            <w:tcBorders>
              <w:top w:val="none" w:color="000000" w:sz="4" w:space="0"/>
              <w:left w:val="single" w:color="000000" w:sz="8" w:space="0"/>
              <w:right w:val="single" w:color="000000" w:sz="8" w:space="0"/>
            </w:tcBorders>
            <w:tcMar>
              <w:left w:w="108" w:type="dxa"/>
              <w:top w:w="0" w:type="dxa"/>
              <w:right w:w="108" w:type="dxa"/>
              <w:bottom w:w="0" w:type="dxa"/>
            </w:tcMar>
            <w:tcW w:w="2153" w:type="dxa"/>
            <w:vAlign w:val="center"/>
            <w:vMerge w:val="restart"/>
            <w:textDirection w:val="lrTb"/>
            <w:noWrap w:val="false"/>
          </w:tcPr>
          <w:p>
            <w:pPr>
              <w:pStyle w:val="689"/>
              <w:ind w:left="107"/>
              <w:jc w:val="center"/>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服务方案（</w:t>
            </w:r>
            <w:r>
              <w:rPr>
                <w:rFonts w:hint="eastAsia" w:ascii="宋体" w:hAnsi="宋体" w:cs="宋体"/>
                <w:i w:val="0"/>
                <w:iCs w:val="0"/>
                <w:color w:val="auto"/>
                <w:sz w:val="24"/>
                <w:szCs w:val="24"/>
                <w:highlight w:val="none"/>
                <w:u w:val="none"/>
                <w:lang w:val="en-US" w:eastAsia="zh-CN" w:bidi="ar"/>
              </w:rPr>
              <w:t xml:space="preserve">31</w:t>
            </w:r>
            <w:r>
              <w:rPr>
                <w:rFonts w:hint="eastAsia" w:ascii="宋体" w:hAnsi="宋体" w:eastAsia="宋体" w:cs="宋体"/>
                <w:i w:val="0"/>
                <w:iCs w:val="0"/>
                <w:color w:val="auto"/>
                <w:sz w:val="24"/>
                <w:szCs w:val="24"/>
                <w:highlight w:val="none"/>
                <w:u w:val="none"/>
                <w:lang w:val="en-US" w:eastAsia="zh-CN" w:bidi="ar"/>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jc w:val="left"/>
              <w:keepLines w:val="0"/>
              <w:keepNext w:val="0"/>
              <w:pageBreakBefore w:val="0"/>
              <w:spacing w:before="0" w:after="0" w:line="400" w:lineRule="exact"/>
              <w:widowControl/>
              <w:rPr>
                <w:color w:val="auto"/>
                <w:highlight w:val="none"/>
              </w:rPr>
              <w:suppressLineNumbers w:val="0"/>
            </w:pPr>
            <w:r>
              <w:rPr>
                <w:rFonts w:hint="eastAsia"/>
                <w:color w:val="auto"/>
                <w:highlight w:val="none"/>
                <w:lang w:val="en-US" w:eastAsia="zh-CN"/>
              </w:rPr>
              <w:t xml:space="preserve">1.</w:t>
            </w:r>
            <w:r>
              <w:rPr>
                <w:rFonts w:hint="eastAsia" w:ascii="宋体" w:hAnsi="宋体" w:eastAsia="宋体" w:cs="宋体"/>
                <w:i w:val="0"/>
                <w:iCs w:val="0"/>
                <w:color w:val="auto"/>
                <w:sz w:val="24"/>
                <w:szCs w:val="24"/>
                <w:highlight w:val="none"/>
                <w:u w:val="none"/>
                <w:lang w:val="en-US" w:eastAsia="zh-CN" w:bidi="ar"/>
              </w:rPr>
              <w:t xml:space="preserve">项目总体实施方案（</w:t>
            </w:r>
            <w:r>
              <w:rPr>
                <w:rFonts w:hint="eastAsia"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 分）</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suppressLineNumbers w:val="0"/>
            </w:pPr>
            <w:r>
              <w:rPr>
                <w:rFonts w:ascii="宋体" w:hAnsi="宋体" w:eastAsia="宋体" w:cs="宋体"/>
                <w:color w:val="auto"/>
                <w:sz w:val="24"/>
                <w:szCs w:val="24"/>
                <w:highlight w:val="none"/>
                <w:lang w:val="en-US" w:eastAsia="zh-CN" w:bidi="ar"/>
              </w:rPr>
              <w:t xml:space="preserve">包含但不限于</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目标及整体设想、方案规划、服务人员配置及管理况、</w:t>
            </w:r>
            <w:r>
              <w:rPr>
                <w:rFonts w:hint="eastAsia" w:ascii="宋体" w:hAnsi="宋体" w:eastAsia="宋体" w:cs="宋体"/>
                <w:color w:val="auto"/>
                <w:sz w:val="24"/>
                <w:szCs w:val="24"/>
                <w:highlight w:val="none"/>
                <w:lang w:val="zh-CN" w:eastAsia="zh-CN"/>
              </w:rPr>
              <w:t xml:space="preserve">投标人自身的介绍（</w:t>
            </w:r>
            <w:r>
              <w:rPr>
                <w:rFonts w:hint="eastAsia" w:ascii="宋体" w:hAnsi="宋体" w:eastAsia="宋体" w:cs="宋体"/>
                <w:color w:val="auto"/>
                <w:sz w:val="24"/>
                <w:szCs w:val="24"/>
                <w:highlight w:val="none"/>
                <w:lang w:val="en-US" w:eastAsia="zh-CN"/>
              </w:rPr>
              <w:t xml:space="preserve">规模、经营模式、服务优势</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等进行综合评审。</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①方案总体思路科学合理，逻辑层次清晰，内容完整覆盖本项目全部需求，实施措施、保障举措、风险应对完备，可行性好，得 </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②方案总体较为合理，逻辑较清晰，主要内容完整，少量细节有欠缺，整体具备可行性，得</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 </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③方案逻辑、内容完整性一般，部分实施措施缺失或不够贴合项目实际，可行性一般，得 </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 分； </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④未提供方案，或方案存在重大偏差、关键内容缺失完全不响应项目需求的，本项不得分。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top"/>
            <w:vMerge w:val="continue"/>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numPr>
                <w:ilvl w:val="0"/>
                <w:numId w:val="2"/>
              </w:numPr>
              <w:jc w:val="left"/>
              <w:keepLines w:val="0"/>
              <w:keepNext w:val="0"/>
              <w:pageBreakBefore w:val="0"/>
              <w:spacing w:before="0" w:after="0" w:line="400" w:lineRule="exact"/>
              <w:widowControl/>
              <w:rPr>
                <w:rFonts w:hint="eastAsia"/>
                <w:color w:val="auto"/>
                <w:highlight w:val="none"/>
              </w:rPr>
              <w:suppressLineNumbers w:val="0"/>
            </w:pPr>
            <w:r>
              <w:rPr>
                <w:rFonts w:hint="eastAsia"/>
                <w:color w:val="auto"/>
                <w:highlight w:val="none"/>
              </w:rPr>
              <w:t xml:space="preserve">管理服务体系</w:t>
            </w:r>
            <w:r>
              <w:rPr>
                <w:rFonts w:hint="eastAsia"/>
                <w:color w:val="auto"/>
                <w:highlight w:val="none"/>
                <w:lang w:eastAsia="zh-CN"/>
              </w:rPr>
              <w:t xml:space="preserve">、</w:t>
            </w:r>
            <w:r>
              <w:rPr>
                <w:rFonts w:hint="eastAsia"/>
                <w:color w:val="auto"/>
                <w:highlight w:val="none"/>
              </w:rPr>
              <w:t xml:space="preserve">管理规章制度、日常管理标准及措施（</w:t>
            </w:r>
            <w:r>
              <w:rPr>
                <w:rFonts w:hint="eastAsia"/>
                <w:color w:val="auto"/>
                <w:highlight w:val="none"/>
                <w:lang w:val="en-US" w:eastAsia="zh-CN"/>
              </w:rPr>
              <w:t xml:space="preserve">5</w:t>
            </w:r>
            <w:r>
              <w:rPr>
                <w:rFonts w:hint="eastAsia"/>
                <w:color w:val="auto"/>
                <w:highlight w:val="none"/>
              </w:rPr>
              <w:t xml:space="preserve"> 分）</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①管理制度健全，管理服务体系架构完整，日常管理标准及措施针对性强，贴合本项目需求，逻辑清晰，内容完整落地可行，得 5 分； </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②管理制度、服务体系、日常管理措施主要内容齐全，整体响应项目需求，部分细节不够完善，具备可行性，得 3 分； </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③管理制度、管理服务体系、日常管理标准措施存在部分缺失，针对性不强，完整性一般，可行性一般，得 1 分； </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④未提供本部分内容，或核心制度、管理体系关键内容缺失，存在重大偏差，无法满足项目基本管理要求的，本项不得分。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top"/>
            <w:vMerge w:val="continue"/>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jc w:val="left"/>
              <w:keepLines w:val="0"/>
              <w:keepNext w:val="0"/>
              <w:pageBreakBefore w:val="0"/>
              <w:spacing w:before="0" w:after="0" w:line="400" w:lineRule="exact"/>
              <w:widowControl/>
              <w:rPr>
                <w:color w:val="auto"/>
                <w:highlight w:val="none"/>
              </w:rPr>
              <w:suppressLineNumbers w:val="0"/>
            </w:pPr>
            <w:r>
              <w:rPr>
                <w:rFonts w:hint="eastAsia"/>
                <w:color w:val="auto"/>
                <w:highlight w:val="none"/>
                <w:lang w:val="en-US" w:eastAsia="zh-CN"/>
              </w:rPr>
              <w:t xml:space="preserve">3.</w:t>
            </w:r>
            <w:r>
              <w:rPr>
                <w:rFonts w:hint="eastAsia"/>
                <w:color w:val="auto"/>
                <w:highlight w:val="none"/>
              </w:rPr>
              <w:t xml:space="preserve">岗前培训及阶段性培训管理（</w:t>
            </w:r>
            <w:r>
              <w:rPr>
                <w:rFonts w:hint="eastAsia"/>
                <w:color w:val="auto"/>
                <w:highlight w:val="none"/>
                <w:lang w:val="en-US" w:eastAsia="zh-CN"/>
              </w:rPr>
              <w:t xml:space="preserve">5</w:t>
            </w:r>
            <w:r>
              <w:rPr>
                <w:rFonts w:hint="eastAsia"/>
                <w:color w:val="auto"/>
                <w:highlight w:val="none"/>
              </w:rPr>
              <w:t xml:space="preserve">分）</w:t>
            </w:r>
            <w:r/>
          </w:p>
          <w:p>
            <w:pPr>
              <w:jc w:val="both"/>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评审重点核查：岗前培训、阶段性培训、课程设置、</w:t>
            </w:r>
            <w:r>
              <w:rPr>
                <w:rFonts w:hint="eastAsia" w:ascii="宋体" w:hAnsi="宋体" w:eastAsia="宋体" w:cs="宋体"/>
                <w:color w:val="auto"/>
                <w:sz w:val="24"/>
                <w:szCs w:val="24"/>
                <w:highlight w:val="none"/>
                <w:lang w:val="en-US" w:eastAsia="zh-CN"/>
              </w:rPr>
              <w:t xml:space="preserve">专项培训体系、培训考核及反馈</w:t>
            </w:r>
            <w:r>
              <w:rPr>
                <w:rFonts w:ascii="宋体" w:hAnsi="宋体" w:eastAsia="宋体" w:cs="宋体"/>
                <w:color w:val="auto"/>
                <w:sz w:val="24"/>
                <w:szCs w:val="24"/>
                <w:highlight w:val="none"/>
              </w:rPr>
              <w:t xml:space="preserve">等内容；</w:t>
            </w:r>
            <w:r/>
          </w:p>
          <w:p>
            <w:pPr>
              <w:jc w:val="both"/>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 ①岗前培训、阶段性培训方案完整齐全，课程设置贴合本项目岗位需求，培训</w:t>
            </w:r>
            <w:r>
              <w:rPr>
                <w:rFonts w:hint="eastAsia" w:ascii="宋体" w:hAnsi="宋体" w:cs="宋体"/>
                <w:color w:val="auto"/>
                <w:sz w:val="24"/>
                <w:szCs w:val="24"/>
                <w:highlight w:val="none"/>
                <w:lang w:val="en-US" w:eastAsia="zh-CN"/>
              </w:rPr>
              <w:t xml:space="preserve">目的、</w:t>
            </w:r>
            <w:r>
              <w:rPr>
                <w:rFonts w:ascii="宋体" w:hAnsi="宋体" w:eastAsia="宋体" w:cs="宋体"/>
                <w:color w:val="auto"/>
                <w:sz w:val="24"/>
                <w:szCs w:val="24"/>
                <w:highlight w:val="none"/>
              </w:rPr>
              <w:t xml:space="preserve">形式、考核等要素完备，逻辑清晰，落地可行性高，得 5 分； </w:t>
            </w:r>
            <w:r/>
          </w:p>
          <w:p>
            <w:pPr>
              <w:jc w:val="both"/>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②岗前及阶段性培训主要内容齐全，能够响应项目主要需求，部分细节不完善，整体具备可行性，得 3 分； </w:t>
            </w:r>
            <w:r/>
          </w:p>
          <w:p>
            <w:pPr>
              <w:jc w:val="both"/>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③岗前培训或阶段性培训存在缺项，课程针对性不足，内容完整性一般，可行性一般，得 1 分； </w:t>
            </w:r>
            <w:r/>
          </w:p>
          <w:p>
            <w:pPr>
              <w:jc w:val="both"/>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④未提供本部分方案，或岗前培训、阶段性培训</w:t>
            </w:r>
            <w:r>
              <w:rPr>
                <w:rStyle w:val="662"/>
                <w:rFonts w:ascii="宋体" w:hAnsi="宋体" w:eastAsia="宋体" w:cs="宋体"/>
                <w:color w:val="auto"/>
                <w:sz w:val="24"/>
                <w:szCs w:val="24"/>
                <w:highlight w:val="none"/>
              </w:rPr>
              <w:t xml:space="preserve">核心模块缺失，存在重大偏差，无法满足项目人员培训基本要求</w:t>
            </w:r>
            <w:r>
              <w:rPr>
                <w:rFonts w:ascii="宋体" w:hAnsi="宋体" w:eastAsia="宋体" w:cs="宋体"/>
                <w:color w:val="auto"/>
                <w:sz w:val="24"/>
                <w:szCs w:val="24"/>
                <w:highlight w:val="none"/>
              </w:rPr>
              <w:t xml:space="preserve">的，本项不得分</w:t>
            </w:r>
            <w:r>
              <w:rPr>
                <w:rFonts w:hint="eastAsia" w:ascii="宋体" w:hAnsi="宋体" w:eastAsia="宋体" w:cs="宋体"/>
                <w:color w:val="auto"/>
                <w:sz w:val="24"/>
                <w:szCs w:val="24"/>
                <w:highlight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top"/>
            <w:vMerge w:val="continue"/>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jc w:val="left"/>
              <w:keepLines w:val="0"/>
              <w:keepNext w:val="0"/>
              <w:pageBreakBefore w:val="0"/>
              <w:spacing w:before="0" w:after="0" w:line="400" w:lineRule="exact"/>
              <w:widowControl/>
              <w:rPr>
                <w:rFonts w:hint="eastAsia" w:ascii="宋体" w:hAnsi="Times New Roman" w:eastAsia="宋体" w:cs="Times New Roman"/>
                <w:color w:val="auto"/>
                <w:highlight w:val="none"/>
                <w:lang w:val="en-US" w:eastAsia="zh-CN"/>
              </w:rPr>
              <w:suppressLineNumbers w:val="0"/>
            </w:pPr>
            <w:r>
              <w:rPr>
                <w:rFonts w:hint="eastAsia" w:ascii="宋体" w:hAnsi="Times New Roman" w:eastAsia="宋体" w:cs="Times New Roman"/>
                <w:color w:val="auto"/>
                <w:highlight w:val="none"/>
                <w:lang w:val="en-US" w:eastAsia="zh-CN"/>
              </w:rPr>
              <w:t xml:space="preserve">4.管理重点难点和具体解决措施（5 分）</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suppressLineNumbers w:val="0"/>
            </w:pPr>
            <w:r>
              <w:rPr>
                <w:rFonts w:ascii="宋体" w:hAnsi="宋体" w:eastAsia="宋体" w:cs="宋体"/>
                <w:color w:val="auto"/>
                <w:sz w:val="24"/>
                <w:szCs w:val="24"/>
                <w:highlight w:val="none"/>
              </w:rPr>
              <w:t xml:space="preserve">评审重点核查：投标人结合本项目实际梳理识别管理重点、难点，并针对性制定对应的处置管控措施</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①能够精准识别本项目管理重点与难点，配套管控措施针对性强、完整具体，逻辑清晰，落地可行性高，得 5 分； </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②能够识别项目主要管理重点难点，配套主要管控措施，少量细节不完善，整体具备可行性，得 3 分；</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③对项目重难点识别不全，管控措施较为空泛，针对性不足，完整性一般，可行性一般，得 1 分；</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④未提供本部分内容，或未识别项目重难点、无对应管控措施，存在重大偏差，无法满足项目管理需要的，本项不得分。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950"/>
        </w:trPr>
        <w:tc>
          <w:tcPr>
            <w:tcBorders>
              <w:left w:val="single" w:color="000000" w:sz="8" w:space="0"/>
              <w:bottom w:val="single" w:color="000000" w:sz="8" w:space="0"/>
              <w:right w:val="single" w:color="000000" w:sz="8" w:space="0"/>
            </w:tcBorders>
            <w:tcMar>
              <w:left w:w="108" w:type="dxa"/>
              <w:top w:w="0" w:type="dxa"/>
              <w:right w:w="108" w:type="dxa"/>
              <w:bottom w:w="0" w:type="dxa"/>
            </w:tcMar>
            <w:tcW w:w="2153" w:type="dxa"/>
            <w:vAlign w:val="top"/>
            <w:vMerge w:val="continue"/>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Times New Roman" w:eastAsia="宋体" w:cs="Times New Roman"/>
                <w:b/>
                <w:color w:val="auto"/>
                <w:sz w:val="24"/>
                <w:szCs w:val="20"/>
                <w:highlight w:val="none"/>
                <w:u w:val="single"/>
                <w:lang w:val="en-US" w:eastAsia="zh-CN" w:bidi="ar-SA"/>
              </w:rPr>
              <w:suppressLineNumbers w:val="0"/>
            </w:pPr>
            <w:r>
              <w:rPr>
                <w:rFonts w:hint="eastAsia" w:ascii="宋体" w:hAnsi="Times New Roman" w:eastAsia="宋体" w:cs="Times New Roman"/>
                <w:b/>
                <w:color w:val="auto"/>
                <w:sz w:val="24"/>
                <w:szCs w:val="20"/>
                <w:highlight w:val="none"/>
                <w:u w:val="single"/>
                <w:lang w:val="en-US" w:eastAsia="zh-CN" w:bidi="ar-SA"/>
              </w:rPr>
              <w:t xml:space="preserve">5.交接过渡方案（5分）</w:t>
            </w:r>
            <w:r/>
          </w:p>
          <w:p>
            <w:pPr>
              <w:jc w:val="left"/>
              <w:keepLines w:val="0"/>
              <w:keepNext w:val="0"/>
              <w:pageBreakBefore w:val="0"/>
              <w:spacing w:line="400" w:lineRule="exact"/>
              <w:widowControl/>
              <w:rPr>
                <w:rStyle w:val="662"/>
                <w:rFonts w:ascii="宋体" w:hAnsi="宋体" w:eastAsia="宋体" w:cs="宋体"/>
                <w:color w:val="auto"/>
                <w:sz w:val="24"/>
                <w:szCs w:val="24"/>
                <w:lang w:val="en-US" w:eastAsia="zh-CN" w:bidi="ar"/>
              </w:rPr>
              <w:suppressLineNumbers w:val="0"/>
            </w:pPr>
            <w:r>
              <w:rPr>
                <w:rFonts w:hint="eastAsia" w:ascii="宋体" w:hAnsi="宋体" w:cs="宋体"/>
                <w:color w:val="auto"/>
                <w:sz w:val="24"/>
                <w:szCs w:val="24"/>
                <w:highlight w:val="none"/>
                <w:lang w:val="en-US" w:eastAsia="zh-CN"/>
              </w:rPr>
              <w:t xml:space="preserve">包含但不限于：</w:t>
            </w:r>
            <w:r>
              <w:rPr>
                <w:rStyle w:val="662"/>
                <w:rFonts w:ascii="宋体" w:hAnsi="宋体" w:eastAsia="宋体" w:cs="宋体"/>
                <w:color w:val="auto"/>
                <w:sz w:val="24"/>
                <w:szCs w:val="24"/>
                <w:lang w:val="en-US" w:eastAsia="zh-CN" w:bidi="ar"/>
              </w:rPr>
              <w:t xml:space="preserve">交接时间进度安排</w:t>
            </w:r>
            <w:r>
              <w:rPr>
                <w:rStyle w:val="662"/>
                <w:rFonts w:hint="eastAsia" w:ascii="宋体" w:hAnsi="宋体" w:eastAsia="宋体" w:cs="宋体"/>
                <w:color w:val="auto"/>
                <w:sz w:val="24"/>
                <w:szCs w:val="24"/>
                <w:lang w:val="en-US" w:eastAsia="zh-CN" w:bidi="ar"/>
              </w:rPr>
              <w:t xml:space="preserve">、</w:t>
            </w:r>
            <w:r>
              <w:rPr>
                <w:rStyle w:val="662"/>
                <w:rFonts w:ascii="宋体" w:hAnsi="宋体" w:eastAsia="宋体" w:cs="宋体"/>
                <w:color w:val="auto"/>
                <w:sz w:val="24"/>
                <w:szCs w:val="24"/>
                <w:lang w:val="en-US" w:eastAsia="zh-CN" w:bidi="ar"/>
              </w:rPr>
              <w:t xml:space="preserve">人员交接安排</w:t>
            </w:r>
            <w:r>
              <w:rPr>
                <w:rStyle w:val="662"/>
                <w:rFonts w:hint="eastAsia" w:ascii="宋体" w:hAnsi="宋体" w:eastAsia="宋体" w:cs="宋体"/>
                <w:color w:val="auto"/>
                <w:sz w:val="24"/>
                <w:szCs w:val="24"/>
                <w:lang w:val="en-US" w:eastAsia="zh-CN" w:bidi="ar"/>
              </w:rPr>
              <w:t xml:space="preserve">、</w:t>
            </w:r>
            <w:r>
              <w:rPr>
                <w:rStyle w:val="662"/>
                <w:rFonts w:ascii="宋体" w:hAnsi="宋体" w:eastAsia="宋体" w:cs="宋体"/>
                <w:color w:val="auto"/>
                <w:sz w:val="24"/>
                <w:szCs w:val="24"/>
                <w:lang w:val="en-US" w:eastAsia="zh-CN" w:bidi="ar"/>
              </w:rPr>
              <w:t xml:space="preserve">突发事件应对措施</w:t>
            </w:r>
            <w:r>
              <w:rPr>
                <w:rStyle w:val="662"/>
                <w:rFonts w:hint="eastAsia" w:ascii="宋体" w:hAnsi="宋体" w:eastAsia="宋体" w:cs="宋体"/>
                <w:color w:val="auto"/>
                <w:sz w:val="24"/>
                <w:szCs w:val="24"/>
                <w:lang w:val="en-US" w:eastAsia="zh-CN" w:bidi="ar"/>
              </w:rPr>
              <w:t xml:space="preserve">、</w:t>
            </w:r>
            <w:r>
              <w:rPr>
                <w:rStyle w:val="662"/>
                <w:rFonts w:ascii="宋体" w:hAnsi="宋体" w:eastAsia="宋体" w:cs="宋体"/>
                <w:color w:val="auto"/>
                <w:sz w:val="24"/>
                <w:szCs w:val="24"/>
                <w:lang w:val="en-US" w:eastAsia="zh-CN" w:bidi="ar"/>
              </w:rPr>
              <w:t xml:space="preserve">具体交接安排</w:t>
            </w:r>
            <w:r/>
          </w:p>
          <w:p>
            <w:pPr>
              <w:jc w:val="left"/>
              <w:keepLines w:val="0"/>
              <w:keepNext w:val="0"/>
              <w:pageBreakBefore w:val="0"/>
              <w:spacing w:line="400" w:lineRule="exact"/>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highlight w:val="none"/>
              </w:rPr>
              <w:t xml:space="preserve">①</w:t>
            </w:r>
            <w:r>
              <w:rPr>
                <w:rFonts w:ascii="宋体" w:hAnsi="宋体" w:eastAsia="宋体" w:cs="宋体"/>
                <w:color w:val="auto"/>
                <w:sz w:val="24"/>
                <w:szCs w:val="24"/>
                <w:lang w:val="en-US" w:eastAsia="zh-CN" w:bidi="ar"/>
              </w:rPr>
              <w:t xml:space="preserve">交接过渡方案体系完整，完整覆盖交接时间进度安排、人员交接安排、突发事件应对措施、具体交接安排全部核心内容，各项内容贴合本项目实际进场交接场景，针对性强、逻辑清晰、安排详实合理，可直接落地实施，完全满足项目进场交接过渡管理需求，得</w:t>
            </w:r>
            <w:r>
              <w:rPr>
                <w:rFonts w:hint="eastAsia" w:ascii="宋体" w:hAnsi="宋体" w:cs="宋体"/>
                <w:color w:val="auto"/>
                <w:sz w:val="24"/>
                <w:szCs w:val="24"/>
                <w:lang w:val="en-US" w:eastAsia="zh-CN" w:bidi="ar"/>
              </w:rPr>
              <w:t xml:space="preserve">5</w:t>
            </w:r>
            <w:r>
              <w:rPr>
                <w:rFonts w:ascii="宋体" w:hAnsi="宋体" w:eastAsia="宋体" w:cs="宋体"/>
                <w:color w:val="auto"/>
                <w:sz w:val="24"/>
                <w:szCs w:val="24"/>
                <w:lang w:val="en-US" w:eastAsia="zh-CN" w:bidi="ar"/>
              </w:rPr>
              <w:t xml:space="preserve">分。</w:t>
            </w:r>
            <w:r/>
          </w:p>
          <w:p>
            <w:pPr>
              <w:jc w:val="left"/>
              <w:keepLines w:val="0"/>
              <w:keepNext w:val="0"/>
              <w:pageBreakBefore w:val="0"/>
              <w:spacing w:line="400" w:lineRule="exact"/>
              <w:widowControl/>
              <w:rPr>
                <w:rFonts w:ascii="宋体" w:hAnsi="宋体" w:eastAsia="宋体" w:cs="宋体"/>
                <w:color w:val="auto"/>
                <w:sz w:val="24"/>
                <w:szCs w:val="24"/>
                <w:lang w:val="en-US" w:eastAsia="zh-CN" w:bidi="ar"/>
              </w:rPr>
              <w:suppressLineNumbers w:val="0"/>
            </w:pPr>
            <w:r>
              <w:rPr>
                <w:rFonts w:ascii="宋体" w:hAnsi="宋体" w:eastAsia="宋体" w:cs="宋体"/>
                <w:color w:val="auto"/>
                <w:sz w:val="24"/>
                <w:szCs w:val="24"/>
                <w:highlight w:val="none"/>
              </w:rPr>
              <w:t xml:space="preserve">②</w:t>
            </w:r>
            <w:r>
              <w:rPr>
                <w:rFonts w:ascii="宋体" w:hAnsi="宋体" w:eastAsia="宋体" w:cs="宋体"/>
                <w:color w:val="auto"/>
                <w:sz w:val="24"/>
                <w:szCs w:val="24"/>
                <w:lang w:val="en-US" w:eastAsia="zh-CN" w:bidi="ar"/>
              </w:rPr>
              <w:t xml:space="preserve">交接过渡方案主要制度要素齐全，完整覆盖四大核心交接内容，能够响应本项目进场交接的主要工作需求，整体安排合理、具备可实施性，仅存在少量细节不完善、细化程度不足等问题，不影响整体交接工作开展，得</w:t>
            </w:r>
            <w:r>
              <w:rPr>
                <w:rFonts w:hint="eastAsia" w:ascii="宋体" w:hAnsi="宋体" w:cs="宋体"/>
                <w:color w:val="auto"/>
                <w:sz w:val="24"/>
                <w:szCs w:val="24"/>
                <w:lang w:val="en-US" w:eastAsia="zh-CN" w:bidi="ar"/>
              </w:rPr>
              <w:t xml:space="preserve">3</w:t>
            </w:r>
            <w:r>
              <w:rPr>
                <w:rFonts w:ascii="宋体" w:hAnsi="宋体" w:eastAsia="宋体" w:cs="宋体"/>
                <w:color w:val="auto"/>
                <w:sz w:val="24"/>
                <w:szCs w:val="24"/>
                <w:lang w:val="en-US" w:eastAsia="zh-CN" w:bidi="ar"/>
              </w:rPr>
              <w:t xml:space="preserve">分。</w:t>
            </w:r>
            <w:r/>
          </w:p>
          <w:p>
            <w:pPr>
              <w:jc w:val="left"/>
              <w:keepLines w:val="0"/>
              <w:keepNext w:val="0"/>
              <w:pageBreakBefore w:val="0"/>
              <w:spacing w:line="400" w:lineRule="exact"/>
              <w:widowControl/>
              <w:rPr>
                <w:color w:val="auto"/>
              </w:rPr>
              <w:suppressLineNumbers w:val="0"/>
            </w:pPr>
            <w:r>
              <w:rPr>
                <w:rFonts w:ascii="宋体" w:hAnsi="宋体" w:eastAsia="宋体" w:cs="宋体"/>
                <w:color w:val="auto"/>
                <w:sz w:val="24"/>
                <w:szCs w:val="24"/>
                <w:highlight w:val="none"/>
              </w:rPr>
              <w:t xml:space="preserve">③</w:t>
            </w:r>
            <w:r>
              <w:rPr>
                <w:rFonts w:ascii="宋体" w:hAnsi="宋体" w:eastAsia="宋体" w:cs="宋体"/>
                <w:color w:val="auto"/>
                <w:sz w:val="24"/>
                <w:szCs w:val="24"/>
                <w:lang w:val="en-US" w:eastAsia="zh-CN" w:bidi="ar"/>
              </w:rPr>
              <w:t xml:space="preserve">交接过渡方案存在较多内容缺项，部分核心交接内容不完善、表述笼统，交接安排合理性、针对性不足，未紧密结合本项目实际情况，方案完整性、落地可行性一般，仅具备基础框架，得</w:t>
            </w:r>
            <w:r>
              <w:rPr>
                <w:rFonts w:hint="eastAsia" w:ascii="宋体" w:hAnsi="宋体" w:cs="宋体"/>
                <w:color w:val="auto"/>
                <w:sz w:val="24"/>
                <w:szCs w:val="24"/>
                <w:lang w:val="en-US" w:eastAsia="zh-CN" w:bidi="ar"/>
              </w:rPr>
              <w:t xml:space="preserve">1</w:t>
            </w:r>
            <w:r>
              <w:rPr>
                <w:rFonts w:ascii="宋体" w:hAnsi="宋体" w:eastAsia="宋体" w:cs="宋体"/>
                <w:color w:val="auto"/>
                <w:sz w:val="24"/>
                <w:szCs w:val="24"/>
                <w:lang w:val="en-US" w:eastAsia="zh-CN" w:bidi="ar"/>
              </w:rPr>
              <w:t xml:space="preserve">分。</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④</w:t>
            </w:r>
            <w:r>
              <w:rPr>
                <w:rFonts w:ascii="宋体" w:hAnsi="宋体" w:eastAsia="宋体" w:cs="宋体"/>
                <w:color w:val="auto"/>
                <w:sz w:val="24"/>
                <w:szCs w:val="24"/>
                <w:lang w:val="en-US" w:eastAsia="zh-CN" w:bidi="ar"/>
              </w:rPr>
              <w:t xml:space="preserve">未提供本项目交接过渡方案，或方案核心交接要素严重缺失、内容空洞错乱、与项目进场交接工作严重不符，存在重大偏差，无法指导本项目交接过渡工作开展的，本项不得分。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496"/>
        </w:trPr>
        <w:tc>
          <w:tcPr>
            <w:tcBorders>
              <w:left w:val="single" w:color="000000" w:sz="8" w:space="0"/>
              <w:bottom w:val="single" w:color="000000" w:sz="8" w:space="0"/>
              <w:right w:val="single" w:color="000000" w:sz="8" w:space="0"/>
            </w:tcBorders>
            <w:tcMar>
              <w:left w:w="108" w:type="dxa"/>
              <w:top w:w="0" w:type="dxa"/>
              <w:right w:w="108" w:type="dxa"/>
              <w:bottom w:w="0" w:type="dxa"/>
            </w:tcMar>
            <w:tcW w:w="2153" w:type="dxa"/>
            <w:vAlign w:val="top"/>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jc w:val="left"/>
              <w:keepLines w:val="0"/>
              <w:keepNext w:val="0"/>
              <w:pageBreakBefore w:val="0"/>
              <w:spacing w:before="0" w:after="0" w:line="400" w:lineRule="exact"/>
              <w:widowControl/>
              <w:rPr>
                <w:color w:val="auto"/>
                <w:highlight w:val="none"/>
              </w:rPr>
              <w:suppressLineNumbers w:val="0"/>
            </w:pPr>
            <w:r>
              <w:rPr>
                <w:rFonts w:hint="eastAsia"/>
                <w:color w:val="auto"/>
                <w:highlight w:val="none"/>
                <w:lang w:val="en-US" w:eastAsia="zh-CN"/>
              </w:rPr>
              <w:t xml:space="preserve">6.</w:t>
            </w:r>
            <w:r>
              <w:rPr>
                <w:rFonts w:hint="eastAsia"/>
                <w:color w:val="auto"/>
                <w:highlight w:val="none"/>
              </w:rPr>
              <w:t xml:space="preserve">服务人员内部考核制度及管理： (</w:t>
            </w:r>
            <w:r>
              <w:rPr>
                <w:rFonts w:hint="eastAsia"/>
                <w:color w:val="auto"/>
                <w:highlight w:val="none"/>
                <w:lang w:val="en-US" w:eastAsia="zh-CN"/>
              </w:rPr>
              <w:t xml:space="preserve">5</w:t>
            </w:r>
            <w:r>
              <w:rPr>
                <w:rFonts w:hint="eastAsia"/>
                <w:color w:val="auto"/>
                <w:highlight w:val="none"/>
              </w:rPr>
              <w:t xml:space="preserve"> 分)</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lang w:val="en-US" w:eastAsia="zh-CN" w:bidi="ar"/>
              </w:rPr>
              <w:t xml:space="preserve">包含但不限于</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rPr>
              <w:t xml:space="preserve">针对本项目服务人员的</w:t>
            </w:r>
            <w:r>
              <w:rPr>
                <w:rFonts w:hint="eastAsia" w:ascii="宋体" w:hAnsi="宋体" w:eastAsia="宋体" w:cs="宋体"/>
                <w:color w:val="auto"/>
                <w:sz w:val="24"/>
                <w:szCs w:val="24"/>
                <w:highlight w:val="none"/>
                <w:lang w:val="en-US" w:eastAsia="zh-CN"/>
              </w:rPr>
              <w:t xml:space="preserve">考核及培训、</w:t>
            </w:r>
            <w:r>
              <w:rPr>
                <w:rFonts w:hint="eastAsia" w:ascii="宋体" w:hAnsi="宋体" w:eastAsia="宋体" w:cs="宋体"/>
                <w:color w:val="auto"/>
                <w:sz w:val="24"/>
                <w:szCs w:val="24"/>
                <w:highlight w:val="none"/>
              </w:rPr>
              <w:t xml:space="preserve">考核细则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考核奖惩制度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监管措施</w:t>
            </w:r>
            <w:r>
              <w:rPr>
                <w:rFonts w:ascii="宋体" w:hAnsi="宋体" w:eastAsia="宋体" w:cs="宋体"/>
                <w:color w:val="auto"/>
                <w:sz w:val="24"/>
                <w:szCs w:val="24"/>
                <w:highlight w:val="none"/>
              </w:rPr>
              <w:t xml:space="preserve">等内容；</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①人员内部考核制度体系完整，考核指标贴合本项目岗位，奖惩及结果运用机制完善，逻辑清晰，落地可行性高，得 5 分； ②内部考核主要制度要素齐全，能够响应项目人员考核主要需求，少量细节不完善，整体具备可行性，得 3 分； </w:t>
            </w:r>
            <w:r/>
          </w:p>
          <w:p>
            <w:pPr>
              <w:jc w:val="left"/>
              <w:keepLines w:val="0"/>
              <w:keepNext w:val="0"/>
              <w:pageBreakBefore w:val="0"/>
              <w:spacing w:line="400" w:lineRule="exact"/>
              <w:widowControl/>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③考核制度存在较多缺项，考核指标或奖惩机制不完善，内容针对性不足，完整性、可行性一般，得 1 分； </w:t>
            </w:r>
            <w:r/>
          </w:p>
          <w:p>
            <w:pPr>
              <w:jc w:val="left"/>
              <w:keepLines w:val="0"/>
              <w:keepNext w:val="0"/>
              <w:pageBreakBefore w:val="0"/>
              <w:spacing w:line="400" w:lineRule="exact"/>
              <w:widowControl/>
              <w:rPr>
                <w:rFonts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rPr>
              <w:t xml:space="preserve">④未提供本部分方案，或核心考核要素完全缺失，存在重大偏差，无法实现服务人员内部考核管理的，本项不得分。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center"/>
            <w:vMerge w:val="restart"/>
            <w:textDirection w:val="lrTb"/>
            <w:noWrap w:val="false"/>
          </w:tcPr>
          <w:p>
            <w:pPr>
              <w:pStyle w:val="689"/>
              <w:ind w:left="107"/>
              <w:jc w:val="center"/>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应急预案及应急保障（1</w:t>
            </w: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jc w:val="left"/>
              <w:keepLines w:val="0"/>
              <w:keepNext w:val="0"/>
              <w:pageBreakBefore w:val="0"/>
              <w:spacing w:before="0" w:after="0" w:line="400" w:lineRule="exact"/>
              <w:widowControl/>
              <w:rPr>
                <w:color w:val="auto"/>
                <w:highlight w:val="none"/>
              </w:rPr>
              <w:suppressLineNumbers w:val="0"/>
            </w:pPr>
            <w:r>
              <w:rPr>
                <w:color w:val="auto"/>
                <w:highlight w:val="none"/>
              </w:rPr>
              <w:t xml:space="preserve">1. 突发事件专项应急预案体系完整性（</w:t>
            </w:r>
            <w:r>
              <w:rPr>
                <w:rFonts w:hint="eastAsia"/>
                <w:color w:val="auto"/>
                <w:highlight w:val="none"/>
                <w:lang w:val="en-US" w:eastAsia="zh-CN"/>
              </w:rPr>
              <w:t xml:space="preserve">5</w:t>
            </w:r>
            <w:r>
              <w:rPr>
                <w:color w:val="auto"/>
                <w:highlight w:val="none"/>
              </w:rPr>
              <w:t xml:space="preserve">分）</w:t>
            </w:r>
            <w:r/>
          </w:p>
          <w:p>
            <w:pPr>
              <w:ind w:left="0"/>
              <w:jc w:val="both"/>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ascii="宋体" w:hAnsi="宋体" w:eastAsia="宋体" w:cs="宋体"/>
                <w:color w:val="auto"/>
                <w:sz w:val="24"/>
                <w:szCs w:val="24"/>
                <w:highlight w:val="none"/>
                <w:lang w:val="en-US" w:eastAsia="zh-CN" w:bidi="ar"/>
              </w:rPr>
              <w:t xml:space="preserve">包含但不限于：</w:t>
            </w:r>
            <w:r>
              <w:rPr>
                <w:rFonts w:hint="eastAsia" w:ascii="宋体" w:hAnsi="宋体" w:cs="宋体"/>
                <w:color w:val="auto"/>
                <w:sz w:val="24"/>
                <w:szCs w:val="24"/>
                <w:highlight w:val="none"/>
                <w:lang w:val="en-US" w:eastAsia="zh-CN" w:bidi="ar"/>
              </w:rPr>
              <w:t xml:space="preserve">自然灾</w:t>
            </w:r>
            <w:r>
              <w:rPr>
                <w:rFonts w:hint="eastAsia" w:ascii="宋体" w:hAnsi="宋体" w:eastAsia="宋体" w:cs="宋体"/>
                <w:color w:val="auto"/>
                <w:sz w:val="24"/>
                <w:szCs w:val="24"/>
                <w:highlight w:val="none"/>
                <w:lang w:val="en-US" w:eastAsia="zh-CN" w:bidi="ar"/>
              </w:rPr>
              <w:t xml:space="preserve">害、火灾事故、反恐防暴、暴力伤医、医院大型活动等预案</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各类突发事件预案齐全，包含风险分析、现场处置流程、人员分工、警戒隔离、上报流程、善后处置、复盘总结，贴合项目实际，得</w:t>
            </w:r>
            <w:r>
              <w:rPr>
                <w:rStyle w:val="662"/>
                <w:rFonts w:hint="eastAsia" w:ascii="宋体" w:hAnsi="宋体" w:eastAsia="宋体" w:cs="宋体"/>
                <w:color w:val="auto"/>
                <w:sz w:val="24"/>
                <w:szCs w:val="24"/>
                <w:highlight w:val="none"/>
                <w:lang w:val="en-US" w:eastAsia="zh-CN" w:bidi="ar"/>
              </w:rPr>
              <w:t xml:space="preserve">5</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主要预案齐全，部分流程细节不完善，得</w:t>
            </w:r>
            <w:r>
              <w:rPr>
                <w:rStyle w:val="662"/>
                <w:rFonts w:hint="eastAsia" w:ascii="宋体" w:hAnsi="宋体" w:eastAsia="宋体" w:cs="宋体"/>
                <w:color w:val="auto"/>
                <w:sz w:val="24"/>
                <w:szCs w:val="24"/>
                <w:highlight w:val="none"/>
                <w:lang w:val="en-US" w:eastAsia="zh-CN" w:bidi="ar"/>
              </w:rPr>
              <w:t xml:space="preserve">3</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预案数量少、内容模板化、可操作性差，得</w:t>
            </w:r>
            <w:r>
              <w:rPr>
                <w:rStyle w:val="662"/>
                <w:rFonts w:hint="eastAsia" w:ascii="宋体" w:hAnsi="宋体" w:eastAsia="宋体" w:cs="宋体"/>
                <w:color w:val="auto"/>
                <w:sz w:val="24"/>
                <w:szCs w:val="24"/>
                <w:highlight w:val="none"/>
                <w:lang w:val="en-US" w:eastAsia="zh-CN" w:bidi="ar"/>
              </w:rPr>
              <w:t xml:space="preserve">1</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lang w:val="en-US" w:eastAsia="zh-CN" w:bidi="ar"/>
              </w:rPr>
              <w:t xml:space="preserve">无专项预案，得</w:t>
            </w:r>
            <w:r>
              <w:rPr>
                <w:rStyle w:val="662"/>
                <w:rFonts w:ascii="宋体" w:hAnsi="宋体" w:eastAsia="宋体" w:cs="宋体"/>
                <w:color w:val="auto"/>
                <w:sz w:val="24"/>
                <w:szCs w:val="24"/>
                <w:highlight w:val="none"/>
                <w:lang w:val="en-US" w:eastAsia="zh-CN" w:bidi="ar"/>
              </w:rPr>
              <w:t xml:space="preserve">0分</w:t>
            </w:r>
            <w:r>
              <w:rPr>
                <w:rFonts w:ascii="宋体" w:hAnsi="宋体" w:eastAsia="宋体" w:cs="宋体"/>
                <w:color w:val="auto"/>
                <w:sz w:val="24"/>
                <w:szCs w:val="24"/>
                <w:highlight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top"/>
            <w:vMerge w:val="continue"/>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jc w:val="left"/>
              <w:keepLines w:val="0"/>
              <w:keepNext w:val="0"/>
              <w:pageBreakBefore w:val="0"/>
              <w:spacing w:before="0" w:after="0" w:line="400" w:lineRule="exact"/>
              <w:widowControl/>
              <w:rPr>
                <w:color w:val="auto"/>
                <w:highlight w:val="none"/>
              </w:rPr>
              <w:suppressLineNumbers w:val="0"/>
            </w:pPr>
            <w:r>
              <w:rPr>
                <w:rFonts w:hint="eastAsia"/>
                <w:color w:val="auto"/>
                <w:highlight w:val="none"/>
                <w:lang w:val="en-US" w:eastAsia="zh-CN"/>
              </w:rPr>
              <w:t xml:space="preserve">2.</w:t>
            </w:r>
            <w:r>
              <w:rPr>
                <w:color w:val="auto"/>
                <w:highlight w:val="none"/>
              </w:rPr>
              <w:t xml:space="preserve">应急演练、复盘整改机制（</w:t>
            </w:r>
            <w:r>
              <w:rPr>
                <w:rFonts w:hint="eastAsia"/>
                <w:color w:val="auto"/>
                <w:highlight w:val="none"/>
                <w:lang w:val="en-US" w:eastAsia="zh-CN"/>
              </w:rPr>
              <w:t xml:space="preserve">4</w:t>
            </w:r>
            <w:r>
              <w:rPr>
                <w:color w:val="auto"/>
                <w:highlight w:val="none"/>
              </w:rPr>
              <w:t xml:space="preserve">分）</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明确年度、季度演练计划，演练科目、人员分工、演练记录、问题复盘、整改闭环机制完整，得</w:t>
            </w:r>
            <w:r>
              <w:rPr>
                <w:rStyle w:val="662"/>
                <w:rFonts w:hint="eastAsia" w:ascii="宋体" w:hAnsi="宋体" w:eastAsia="宋体" w:cs="宋体"/>
                <w:color w:val="auto"/>
                <w:sz w:val="24"/>
                <w:szCs w:val="24"/>
                <w:highlight w:val="none"/>
                <w:lang w:val="en-US" w:eastAsia="zh-CN" w:bidi="ar"/>
              </w:rPr>
              <w:t xml:space="preserve">4</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有演练计划但未细化闭环整改，得</w:t>
            </w:r>
            <w:r>
              <w:rPr>
                <w:rStyle w:val="662"/>
                <w:rFonts w:hint="eastAsia" w:ascii="宋体" w:hAnsi="宋体" w:eastAsia="宋体" w:cs="宋体"/>
                <w:color w:val="auto"/>
                <w:sz w:val="24"/>
                <w:szCs w:val="24"/>
                <w:highlight w:val="none"/>
                <w:lang w:val="en-US" w:eastAsia="zh-CN" w:bidi="ar"/>
              </w:rPr>
              <w:t xml:space="preserve">2</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仅简单提及演练，无具体方案，得</w:t>
            </w:r>
            <w:r>
              <w:rPr>
                <w:rStyle w:val="662"/>
                <w:rFonts w:hint="eastAsia" w:ascii="宋体" w:hAnsi="宋体" w:eastAsia="宋体" w:cs="宋体"/>
                <w:color w:val="auto"/>
                <w:sz w:val="24"/>
                <w:szCs w:val="24"/>
                <w:highlight w:val="none"/>
                <w:lang w:val="en-US" w:eastAsia="zh-CN" w:bidi="ar"/>
              </w:rPr>
              <w:t xml:space="preserve">1</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lang w:val="en-US" w:eastAsia="zh-CN" w:bidi="ar"/>
              </w:rPr>
              <w:t xml:space="preserve">未提供，得</w:t>
            </w:r>
            <w:r>
              <w:rPr>
                <w:rStyle w:val="662"/>
                <w:rFonts w:ascii="宋体" w:hAnsi="宋体" w:eastAsia="宋体" w:cs="宋体"/>
                <w:color w:val="auto"/>
                <w:sz w:val="24"/>
                <w:szCs w:val="24"/>
                <w:highlight w:val="none"/>
                <w:lang w:val="en-US" w:eastAsia="zh-CN" w:bidi="ar"/>
              </w:rPr>
              <w:t xml:space="preserve">0分</w:t>
            </w:r>
            <w:r>
              <w:rPr>
                <w:rFonts w:ascii="宋体" w:hAnsi="宋体" w:eastAsia="宋体" w:cs="宋体"/>
                <w:color w:val="auto"/>
                <w:sz w:val="24"/>
                <w:szCs w:val="24"/>
                <w:highlight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p>
        </w:tc>
      </w:tr>
      <w:tr>
        <w:trPr>
          <w:trHeight w:val="950"/>
        </w:trPr>
        <w:tc>
          <w:tcPr>
            <w:tcBorders>
              <w:left w:val="single" w:color="000000" w:sz="8" w:space="0"/>
              <w:right w:val="single" w:color="000000" w:sz="8" w:space="0"/>
            </w:tcBorders>
            <w:tcMar>
              <w:left w:w="108" w:type="dxa"/>
              <w:top w:w="0" w:type="dxa"/>
              <w:right w:w="108" w:type="dxa"/>
              <w:bottom w:w="0" w:type="dxa"/>
            </w:tcMar>
            <w:tcW w:w="2153" w:type="dxa"/>
            <w:vAlign w:val="top"/>
            <w:vMerge w:val="continue"/>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635"/>
              <w:jc w:val="left"/>
              <w:keepLines w:val="0"/>
              <w:keepNext w:val="0"/>
              <w:pageBreakBefore w:val="0"/>
              <w:spacing w:before="0" w:after="0" w:line="400" w:lineRule="exact"/>
              <w:widowControl/>
              <w:rPr>
                <w:color w:val="auto"/>
                <w:highlight w:val="none"/>
              </w:rPr>
              <w:suppressLineNumbers w:val="0"/>
            </w:pPr>
            <w:r>
              <w:rPr>
                <w:rFonts w:hint="eastAsia"/>
                <w:color w:val="auto"/>
                <w:highlight w:val="none"/>
                <w:lang w:val="en-US" w:eastAsia="zh-CN"/>
              </w:rPr>
              <w:t xml:space="preserve">3.</w:t>
            </w:r>
            <w:r>
              <w:rPr>
                <w:color w:val="auto"/>
                <w:highlight w:val="none"/>
              </w:rPr>
              <w:t xml:space="preserve">应急人员、后备力量、增援保障机制（</w:t>
            </w:r>
            <w:r>
              <w:rPr>
                <w:rFonts w:hint="eastAsia"/>
                <w:color w:val="auto"/>
                <w:highlight w:val="none"/>
                <w:lang w:val="en-US" w:eastAsia="zh-CN"/>
              </w:rPr>
              <w:t xml:space="preserve">4</w:t>
            </w:r>
            <w:r>
              <w:rPr>
                <w:color w:val="auto"/>
                <w:highlight w:val="none"/>
              </w:rPr>
              <w:t xml:space="preserve">分）</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设立专职应急小组+后备机动安保力量，明确备勤人数、集结时限、夜间及节假日增援调度机制，保障体系完善，得</w:t>
            </w:r>
            <w:r>
              <w:rPr>
                <w:rStyle w:val="662"/>
                <w:rFonts w:hint="eastAsia" w:ascii="宋体" w:hAnsi="宋体" w:cs="宋体"/>
                <w:color w:val="auto"/>
                <w:sz w:val="24"/>
                <w:szCs w:val="24"/>
                <w:highlight w:val="none"/>
                <w:lang w:val="en-US" w:eastAsia="zh-CN" w:bidi="ar"/>
              </w:rPr>
              <w:t xml:space="preserve">4</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有后备人员机制，但调度、集结细则不完善，得</w:t>
            </w:r>
            <w:r>
              <w:rPr>
                <w:rStyle w:val="662"/>
                <w:rFonts w:hint="eastAsia" w:ascii="宋体" w:hAnsi="宋体" w:eastAsia="宋体" w:cs="宋体"/>
                <w:color w:val="auto"/>
                <w:sz w:val="24"/>
                <w:szCs w:val="24"/>
                <w:highlight w:val="none"/>
                <w:lang w:val="en-US" w:eastAsia="zh-CN" w:bidi="ar"/>
              </w:rPr>
              <w:t xml:space="preserve">2</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仅文字提及，无具体保障措施，得</w:t>
            </w:r>
            <w:r>
              <w:rPr>
                <w:rStyle w:val="662"/>
                <w:rFonts w:hint="eastAsia" w:ascii="宋体" w:hAnsi="宋体" w:eastAsia="宋体" w:cs="宋体"/>
                <w:color w:val="auto"/>
                <w:sz w:val="24"/>
                <w:szCs w:val="24"/>
                <w:highlight w:val="none"/>
                <w:lang w:val="en-US" w:eastAsia="zh-CN" w:bidi="ar"/>
              </w:rPr>
              <w:t xml:space="preserve">1</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both"/>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lang w:val="en-US" w:eastAsia="zh-CN" w:bidi="ar"/>
              </w:rPr>
              <w:t xml:space="preserve">未提供，得</w:t>
            </w:r>
            <w:r>
              <w:rPr>
                <w:rStyle w:val="662"/>
                <w:rFonts w:ascii="宋体" w:hAnsi="宋体" w:eastAsia="宋体" w:cs="宋体"/>
                <w:color w:val="auto"/>
                <w:sz w:val="24"/>
                <w:szCs w:val="24"/>
                <w:highlight w:val="none"/>
                <w:lang w:val="en-US" w:eastAsia="zh-CN" w:bidi="ar"/>
              </w:rPr>
              <w:t xml:space="preserve">0分</w:t>
            </w:r>
            <w:r>
              <w:rPr>
                <w:rFonts w:ascii="宋体" w:hAnsi="宋体" w:eastAsia="宋体" w:cs="宋体"/>
                <w:color w:val="auto"/>
                <w:sz w:val="24"/>
                <w:szCs w:val="24"/>
                <w:highlight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p>
        </w:tc>
      </w:tr>
      <w:tr>
        <w:trPr>
          <w:trHeight w:val="950"/>
        </w:trPr>
        <w:tc>
          <w:tcPr>
            <w:tcBorders>
              <w:left w:val="single" w:color="000000" w:sz="8" w:space="0"/>
              <w:bottom w:val="single" w:color="000000" w:sz="8" w:space="0"/>
              <w:right w:val="single" w:color="000000" w:sz="8" w:space="0"/>
            </w:tcBorders>
            <w:tcMar>
              <w:left w:w="108" w:type="dxa"/>
              <w:top w:w="0" w:type="dxa"/>
              <w:right w:w="108" w:type="dxa"/>
              <w:bottom w:w="0" w:type="dxa"/>
            </w:tcMar>
            <w:tcW w:w="2153" w:type="dxa"/>
            <w:vAlign w:val="top"/>
            <w:vMerge w:val="continue"/>
            <w:textDirection w:val="lrTb"/>
            <w:noWrap w:val="false"/>
          </w:tcPr>
          <w:p>
            <w:pPr>
              <w:pStyle w:val="689"/>
              <w:ind w:left="107"/>
              <w:keepLines w:val="0"/>
              <w:keepNext w:val="0"/>
              <w:pageBreakBefore w:val="0"/>
              <w:spacing w:before="162" w:line="2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pStyle w:val="703"/>
              <w:numPr>
                <w:ilvl w:val="0"/>
                <w:numId w:val="0"/>
              </w:numPr>
              <w:jc w:val="both"/>
              <w:keepLines w:val="0"/>
              <w:keepNext w:val="0"/>
              <w:pageBreakBefore w:val="0"/>
              <w:spacing w:line="400" w:lineRule="exact"/>
              <w:widowControl/>
              <w:rPr>
                <w:b/>
                <w:bCs/>
                <w:color w:val="auto"/>
                <w:highlight w:val="none"/>
              </w:rPr>
            </w:pPr>
            <w:r>
              <w:rPr>
                <w:rFonts w:hint="eastAsia"/>
                <w:b/>
                <w:bCs/>
                <w:color w:val="auto"/>
                <w:highlight w:val="none"/>
                <w:lang w:val="en-US" w:eastAsia="zh-CN"/>
              </w:rPr>
              <w:t xml:space="preserve">4.</w:t>
            </w:r>
            <w:r>
              <w:rPr>
                <w:b/>
                <w:bCs/>
                <w:color w:val="auto"/>
                <w:highlight w:val="none"/>
              </w:rPr>
              <w:t xml:space="preserve">内外联动、应急通讯、</w:t>
            </w:r>
            <w:r>
              <w:rPr>
                <w:rFonts w:hint="eastAsia" w:ascii="Times New Roman" w:hAnsi="Times New Roman" w:eastAsia="宋体"/>
                <w:b/>
                <w:bCs/>
                <w:color w:val="auto"/>
                <w:highlight w:val="none"/>
                <w:lang w:val="en-US" w:eastAsia="zh-CN"/>
              </w:rPr>
              <w:t xml:space="preserve">预防措施</w:t>
            </w:r>
            <w:r>
              <w:rPr>
                <w:rFonts w:ascii="Times New Roman" w:hAnsi="Times New Roman" w:eastAsia="宋体"/>
                <w:b/>
                <w:bCs/>
                <w:color w:val="auto"/>
                <w:highlight w:val="none"/>
              </w:rPr>
              <w:t xml:space="preserve">（</w:t>
            </w:r>
            <w:r>
              <w:rPr>
                <w:rFonts w:hint="eastAsia"/>
                <w:b/>
                <w:bCs/>
                <w:color w:val="auto"/>
                <w:highlight w:val="none"/>
                <w:lang w:val="en-US" w:eastAsia="zh-CN"/>
              </w:rPr>
              <w:t xml:space="preserve">2</w:t>
            </w:r>
            <w:r>
              <w:rPr>
                <w:b/>
                <w:bCs/>
                <w:color w:val="auto"/>
                <w:highlight w:val="none"/>
              </w:rPr>
              <w:t xml:space="preserve">分）</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内部通讯畅通机制完善，明确与采购人、辖区派出所、消防、医疗等外部单位联动流程、联系人、上报机制、快速响应流程，得</w:t>
            </w:r>
            <w:r>
              <w:rPr>
                <w:rStyle w:val="662"/>
                <w:rFonts w:hint="eastAsia" w:ascii="宋体" w:hAnsi="宋体" w:cs="宋体"/>
                <w:color w:val="auto"/>
                <w:sz w:val="24"/>
                <w:szCs w:val="24"/>
                <w:highlight w:val="none"/>
                <w:lang w:val="en-US" w:eastAsia="zh-CN" w:bidi="ar"/>
              </w:rPr>
              <w:t xml:space="preserve">2</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有联动机制但流程简单，得</w:t>
            </w:r>
            <w:r>
              <w:rPr>
                <w:rStyle w:val="662"/>
                <w:rFonts w:hint="eastAsia" w:ascii="宋体" w:hAnsi="宋体" w:cs="宋体"/>
                <w:color w:val="auto"/>
                <w:sz w:val="24"/>
                <w:szCs w:val="24"/>
                <w:highlight w:val="none"/>
                <w:lang w:val="en-US" w:eastAsia="zh-CN" w:bidi="ar"/>
              </w:rPr>
              <w:t xml:space="preserve">1</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仅简单说明联动，无落地措施，得</w:t>
            </w:r>
            <w:r>
              <w:rPr>
                <w:rStyle w:val="662"/>
                <w:rFonts w:hint="eastAsia" w:ascii="宋体" w:hAnsi="宋体" w:cs="宋体"/>
                <w:color w:val="auto"/>
                <w:sz w:val="24"/>
                <w:szCs w:val="24"/>
                <w:highlight w:val="none"/>
                <w:lang w:val="en-US" w:eastAsia="zh-CN" w:bidi="ar"/>
              </w:rPr>
              <w:t xml:space="preserve">0.5</w:t>
            </w:r>
            <w:r>
              <w:rPr>
                <w:rStyle w:val="662"/>
                <w:rFonts w:ascii="宋体" w:hAnsi="宋体" w:eastAsia="宋体" w:cs="宋体"/>
                <w:color w:val="auto"/>
                <w:sz w:val="24"/>
                <w:szCs w:val="24"/>
                <w:highlight w:val="none"/>
                <w:lang w:val="en-US" w:eastAsia="zh-CN" w:bidi="ar"/>
              </w:rPr>
              <w:t xml:space="preserve">分</w:t>
            </w:r>
            <w:r>
              <w:rPr>
                <w:rFonts w:ascii="宋体" w:hAnsi="宋体" w:eastAsia="宋体" w:cs="宋体"/>
                <w:color w:val="auto"/>
                <w:sz w:val="24"/>
                <w:szCs w:val="24"/>
                <w:highlight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lang w:val="en-US" w:eastAsia="zh-CN" w:bidi="ar"/>
              </w:rPr>
              <w:t xml:space="preserve">未提供，得</w:t>
            </w:r>
            <w:r>
              <w:rPr>
                <w:rStyle w:val="662"/>
                <w:rFonts w:ascii="宋体" w:hAnsi="宋体" w:eastAsia="宋体" w:cs="宋体"/>
                <w:color w:val="auto"/>
                <w:sz w:val="24"/>
                <w:szCs w:val="24"/>
                <w:highlight w:val="none"/>
                <w:lang w:val="en-US" w:eastAsia="zh-CN" w:bidi="ar"/>
              </w:rPr>
              <w:t xml:space="preserve">0分</w:t>
            </w:r>
            <w:r>
              <w:rPr>
                <w:rFonts w:ascii="宋体" w:hAnsi="宋体" w:eastAsia="宋体" w:cs="宋体"/>
                <w:color w:val="auto"/>
                <w:sz w:val="24"/>
                <w:szCs w:val="24"/>
                <w:highlight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w:t>
            </w:r>
            <w:r/>
          </w:p>
        </w:tc>
      </w:tr>
    </w:tbl>
    <w:p>
      <w:pPr>
        <w:jc w:val="left"/>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w:t>
      </w:r>
      <w:r/>
    </w:p>
    <w:p>
      <w:pPr>
        <w:pStyle w:val="643"/>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1.1项目开标结束后，招标人对供应商的资格进行审查。</w:t>
      </w:r>
      <w:r/>
    </w:p>
    <w:p>
      <w:pPr>
        <w:pStyle w:val="643"/>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1.2资格审查的内容和标准：见资格审查和评标办法前附表。</w:t>
      </w:r>
      <w:r/>
    </w:p>
    <w:p>
      <w:pPr>
        <w:jc w:val="left"/>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2.评标</w:t>
      </w:r>
      <w:bookmarkEnd w:id="263"/>
      <w:r/>
    </w:p>
    <w:p>
      <w:pPr>
        <w:spacing w:line="500" w:lineRule="exact"/>
        <w:rPr>
          <w:rFonts w:hint="eastAsia" w:ascii="宋体" w:hAnsi="宋体" w:eastAsia="宋体" w:cs="宋体"/>
          <w:b/>
          <w:color w:val="auto"/>
          <w:highlight w:val="none"/>
        </w:rPr>
        <w:outlineLvl w:val="1"/>
      </w:pPr>
      <w:r/>
      <w:bookmarkStart w:id="265" w:name="_Toc14109"/>
      <w:r/>
      <w:bookmarkStart w:id="266" w:name="_Toc8"/>
      <w:r>
        <w:rPr>
          <w:rFonts w:hint="eastAsia" w:ascii="宋体" w:hAnsi="宋体" w:eastAsia="宋体" w:cs="宋体"/>
          <w:b/>
          <w:color w:val="auto"/>
          <w:highlight w:val="none"/>
        </w:rPr>
        <w:t xml:space="preserve">2.1评标方法</w:t>
      </w:r>
      <w:bookmarkEnd w:id="265"/>
      <w:r/>
      <w:bookmarkEnd w:id="266"/>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评标采用综合评分法，评标委员会对满足招标文件实质要求的投标文件</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w:t>
      </w:r>
      <w:r/>
    </w:p>
    <w:p>
      <w:pPr>
        <w:spacing w:line="500" w:lineRule="exact"/>
        <w:rPr>
          <w:rFonts w:hint="eastAsia" w:ascii="宋体" w:hAnsi="宋体" w:eastAsia="宋体" w:cs="宋体"/>
          <w:b/>
          <w:color w:val="auto"/>
          <w:highlight w:val="none"/>
        </w:rPr>
        <w:outlineLvl w:val="1"/>
      </w:pPr>
      <w:r/>
      <w:bookmarkStart w:id="267" w:name="_Toc4675"/>
      <w:r/>
      <w:bookmarkStart w:id="268" w:name="_Toc7678"/>
      <w:r>
        <w:rPr>
          <w:rFonts w:hint="eastAsia" w:ascii="宋体" w:hAnsi="宋体" w:eastAsia="宋体" w:cs="宋体"/>
          <w:b/>
          <w:color w:val="auto"/>
          <w:highlight w:val="none"/>
        </w:rPr>
        <w:t xml:space="preserve">2.2初步评审</w:t>
      </w:r>
      <w:bookmarkEnd w:id="267"/>
      <w:r/>
      <w:bookmarkEnd w:id="268"/>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2.2.1评标委员会对通过资格审查的供应商进行初步评审。</w:t>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2.2.2初步评审的内容为投标文件的符合性评审。符合性评审的内容及标准：见资格审查和评标办法前附表。</w:t>
      </w:r>
      <w:r/>
    </w:p>
    <w:p>
      <w:pPr>
        <w:pStyle w:val="643"/>
        <w:spacing w:line="500" w:lineRule="exact"/>
        <w:rPr>
          <w:rFonts w:hint="eastAsia" w:ascii="宋体" w:hAnsi="宋体" w:eastAsia="宋体" w:cs="宋体"/>
          <w:b/>
          <w:color w:val="auto"/>
          <w:highlight w:val="none"/>
        </w:rPr>
        <w:outlineLvl w:val="1"/>
      </w:pPr>
      <w:r/>
      <w:bookmarkStart w:id="269" w:name="_Toc3825"/>
      <w:r/>
      <w:bookmarkStart w:id="270" w:name="_Toc25706"/>
      <w:r>
        <w:rPr>
          <w:rFonts w:hint="eastAsia" w:ascii="宋体" w:hAnsi="宋体" w:eastAsia="宋体" w:cs="宋体"/>
          <w:b/>
          <w:color w:val="auto"/>
          <w:highlight w:val="none"/>
        </w:rPr>
        <w:t xml:space="preserve">2.3详细评审</w:t>
      </w:r>
      <w:bookmarkEnd w:id="269"/>
      <w:r/>
      <w:bookmarkEnd w:id="270"/>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2.3.1评标委员会对通过初步评审的供应商进行详细评审。</w:t>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2.3.2详细评审的内容及标准：见资格审查和评标办法前附表。</w:t>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2.3.3因落实政府采购政策进行价格调整的，以调整后的价格计算评标基准价和投标报价。</w:t>
      </w:r>
      <w:r/>
    </w:p>
    <w:p>
      <w:pPr>
        <w:spacing w:line="500" w:lineRule="exact"/>
        <w:rPr>
          <w:rFonts w:hint="eastAsia" w:ascii="宋体" w:hAnsi="宋体" w:eastAsia="宋体" w:cs="宋体"/>
          <w:b/>
          <w:color w:val="auto"/>
          <w:highlight w:val="none"/>
        </w:rPr>
        <w:outlineLvl w:val="1"/>
      </w:pPr>
      <w:r/>
      <w:bookmarkStart w:id="271" w:name="_Toc13293"/>
      <w:r/>
      <w:bookmarkStart w:id="272" w:name="_Toc8887"/>
      <w:r/>
      <w:bookmarkStart w:id="273" w:name="_Toc426469924"/>
      <w:r>
        <w:rPr>
          <w:rFonts w:hint="eastAsia" w:ascii="宋体" w:hAnsi="宋体" w:eastAsia="宋体" w:cs="宋体"/>
          <w:b/>
          <w:color w:val="auto"/>
          <w:highlight w:val="none"/>
        </w:rPr>
        <w:t xml:space="preserve">2.4评标报告</w:t>
      </w:r>
      <w:bookmarkEnd w:id="271"/>
      <w:r/>
      <w:bookmarkEnd w:id="272"/>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2.4.1详细评审结束后，评标委员会负责编写评标报告。</w:t>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2.4.2采购代理机构自评审结束之日起2个工作日内将评标报告送交招标人。</w:t>
      </w:r>
      <w:r/>
    </w:p>
    <w:p>
      <w:pPr>
        <w:spacing w:line="500" w:lineRule="exact"/>
        <w:rPr>
          <w:rFonts w:hint="eastAsia" w:ascii="宋体" w:hAnsi="宋体" w:eastAsia="宋体" w:cs="宋体"/>
          <w:b/>
          <w:color w:val="auto"/>
          <w:highlight w:val="none"/>
        </w:rPr>
        <w:outlineLvl w:val="1"/>
      </w:pPr>
      <w:r/>
      <w:bookmarkStart w:id="274" w:name="_Toc4605"/>
      <w:r/>
      <w:bookmarkStart w:id="275" w:name="_Toc27999"/>
      <w:r>
        <w:rPr>
          <w:rFonts w:hint="eastAsia" w:ascii="宋体" w:hAnsi="宋体" w:eastAsia="宋体" w:cs="宋体"/>
          <w:b/>
          <w:color w:val="auto"/>
          <w:highlight w:val="none"/>
        </w:rPr>
        <w:t xml:space="preserve">2.5澄清、说明或补正</w:t>
      </w:r>
      <w:bookmarkEnd w:id="274"/>
      <w:r/>
      <w:bookmarkEnd w:id="275"/>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2.5.1评标委员会在评审过程中，可以要求供应商对投标文件中含义不明确、同类问题表述不一致或者有明显文字和计算错误的内容等作出必要的澄清、说明或者更正。</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2.5.2评标委员会要求供应商澄清、说明或者更正投标文件应当以书面形式作出。</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2.5.3供应商的澄清、说明或者更正应当由法定代表人或其授权代表签字或者加盖公章。由授权代表签字的，应当附法定代表人授权书。供应商的书面澄清材料作为投标文件的补充。</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2.5.4供应商的澄清、说明或者更正不得超出投标文件的范围或者改变投标文件的实质性内容。</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2.5.5评标委员会不得接受供应商主动提出的澄清、说明或补正。</w:t>
      </w:r>
      <w:r/>
    </w:p>
    <w:p>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3.评标过程中特殊情况的处理规定</w:t>
      </w:r>
      <w:r/>
    </w:p>
    <w:p>
      <w:pPr>
        <w:pStyle w:val="643"/>
        <w:spacing w:line="500" w:lineRule="exact"/>
        <w:rPr>
          <w:rFonts w:hint="eastAsia" w:ascii="宋体" w:hAnsi="宋体" w:eastAsia="宋体" w:cs="宋体"/>
          <w:b/>
          <w:color w:val="auto"/>
          <w:highlight w:val="none"/>
        </w:rPr>
        <w:outlineLvl w:val="1"/>
      </w:pPr>
      <w:r/>
      <w:bookmarkStart w:id="276" w:name="_Toc13113"/>
      <w:r/>
      <w:bookmarkStart w:id="277" w:name="_Toc20779"/>
      <w:r>
        <w:rPr>
          <w:rFonts w:hint="eastAsia" w:ascii="宋体" w:hAnsi="宋体" w:eastAsia="宋体" w:cs="宋体"/>
          <w:b/>
          <w:color w:val="auto"/>
          <w:highlight w:val="none"/>
        </w:rPr>
        <w:t xml:space="preserve">3.1投标报价的修正</w:t>
      </w:r>
      <w:bookmarkEnd w:id="276"/>
      <w:r/>
      <w:bookmarkEnd w:id="277"/>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投标文件报价出现前后不一致的，按照下列规定修正： </w:t>
      </w:r>
      <w:r/>
    </w:p>
    <w:p>
      <w:pPr>
        <w:pStyle w:val="643"/>
        <w:ind w:firstLine="2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 </w:t>
      </w:r>
      <w:r/>
    </w:p>
    <w:p>
      <w:pPr>
        <w:pStyle w:val="643"/>
        <w:ind w:firstLine="2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 </w:t>
      </w:r>
      <w:r/>
    </w:p>
    <w:p>
      <w:pPr>
        <w:pStyle w:val="643"/>
        <w:ind w:firstLine="2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 </w:t>
      </w:r>
      <w:r/>
    </w:p>
    <w:p>
      <w:pPr>
        <w:pStyle w:val="643"/>
        <w:ind w:firstLine="2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 </w:t>
      </w:r>
      <w:r/>
    </w:p>
    <w:p>
      <w:pPr>
        <w:pStyle w:val="643"/>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同时出现两种以上不一致的，按照前款规定的顺序修正。修正后的报价按照本章第2.5条的规定经供应商确认后产生约束力，供应商不确认的，其投标无效。</w:t>
      </w:r>
      <w:r/>
    </w:p>
    <w:p>
      <w:pPr>
        <w:pStyle w:val="643"/>
        <w:spacing w:line="500" w:lineRule="exact"/>
        <w:rPr>
          <w:rFonts w:hint="eastAsia" w:ascii="宋体" w:hAnsi="宋体" w:eastAsia="宋体" w:cs="宋体"/>
          <w:b/>
          <w:color w:val="auto"/>
          <w:highlight w:val="none"/>
        </w:rPr>
        <w:outlineLvl w:val="1"/>
      </w:pPr>
      <w:r/>
      <w:bookmarkStart w:id="278" w:name="_Toc31150"/>
      <w:r/>
      <w:bookmarkStart w:id="279" w:name="_Toc6511"/>
      <w:r>
        <w:rPr>
          <w:rFonts w:hint="eastAsia" w:ascii="宋体" w:hAnsi="宋体" w:eastAsia="宋体" w:cs="宋体"/>
          <w:b/>
          <w:color w:val="auto"/>
          <w:highlight w:val="none"/>
        </w:rPr>
        <w:t xml:space="preserve">3.2评标委员会成员的更换</w:t>
      </w:r>
      <w:bookmarkEnd w:id="278"/>
      <w:r/>
      <w:bookmarkEnd w:id="279"/>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3.2.2无法及时补足评标委员会成员的，招标人将停止评标活动，封存所有投标文件和开标、评标资料，依法重新组建评标委员会进行评标。原评标委员会所作出的评标意见无效。</w:t>
      </w:r>
      <w:r/>
    </w:p>
    <w:p>
      <w:pPr>
        <w:pStyle w:val="643"/>
        <w:spacing w:line="500" w:lineRule="exact"/>
        <w:rPr>
          <w:rFonts w:hint="eastAsia" w:ascii="宋体" w:hAnsi="宋体" w:eastAsia="宋体" w:cs="宋体"/>
          <w:b/>
          <w:color w:val="auto"/>
          <w:highlight w:val="none"/>
        </w:rPr>
        <w:outlineLvl w:val="1"/>
      </w:pPr>
      <w:r/>
      <w:bookmarkStart w:id="280" w:name="_Toc21120"/>
      <w:r/>
      <w:bookmarkStart w:id="281" w:name="_Toc26846"/>
      <w:r>
        <w:rPr>
          <w:rFonts w:hint="eastAsia" w:ascii="宋体" w:hAnsi="宋体" w:eastAsia="宋体" w:cs="宋体"/>
          <w:b/>
          <w:color w:val="auto"/>
          <w:highlight w:val="none"/>
        </w:rPr>
        <w:t xml:space="preserve">3.3异常低价的处理</w:t>
      </w:r>
      <w:bookmarkEnd w:id="280"/>
      <w:r/>
      <w:bookmarkEnd w:id="281"/>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pStyle w:val="643"/>
        <w:spacing w:line="500" w:lineRule="exact"/>
        <w:rPr>
          <w:rFonts w:hint="eastAsia" w:ascii="宋体" w:hAnsi="宋体" w:eastAsia="宋体" w:cs="宋体"/>
          <w:b/>
          <w:color w:val="auto"/>
          <w:highlight w:val="none"/>
        </w:rPr>
        <w:outlineLvl w:val="1"/>
      </w:pPr>
      <w:r/>
      <w:bookmarkStart w:id="282" w:name="_Toc14415"/>
      <w:r/>
      <w:bookmarkStart w:id="283" w:name="_Toc876"/>
      <w:r>
        <w:rPr>
          <w:rFonts w:hint="eastAsia" w:ascii="宋体" w:hAnsi="宋体" w:eastAsia="宋体" w:cs="宋体"/>
          <w:b/>
          <w:color w:val="auto"/>
          <w:highlight w:val="none"/>
        </w:rPr>
        <w:t xml:space="preserve">3.4争议解决</w:t>
      </w:r>
      <w:bookmarkEnd w:id="282"/>
      <w:r/>
      <w:bookmarkEnd w:id="283"/>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宋体" w:hAnsi="宋体" w:eastAsia="宋体" w:cs="宋体"/>
          <w:b/>
          <w:color w:val="auto"/>
          <w:highlight w:val="none"/>
        </w:rPr>
        <w:outlineLvl w:val="1"/>
      </w:pPr>
      <w:r/>
      <w:bookmarkStart w:id="284" w:name="_Toc16048"/>
      <w:r/>
      <w:bookmarkStart w:id="285" w:name="_Toc11631"/>
      <w:r>
        <w:rPr>
          <w:rFonts w:hint="eastAsia" w:ascii="宋体" w:hAnsi="宋体" w:eastAsia="宋体" w:cs="宋体"/>
          <w:b/>
          <w:color w:val="auto"/>
          <w:highlight w:val="none"/>
        </w:rPr>
        <w:t xml:space="preserve">3.5评标终止</w:t>
      </w:r>
      <w:bookmarkEnd w:id="284"/>
      <w:r/>
      <w:bookmarkEnd w:id="285"/>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宋体" w:hAnsi="宋体" w:eastAsia="宋体" w:cs="宋体"/>
          <w:b/>
          <w:color w:val="auto"/>
          <w:highlight w:val="none"/>
        </w:rPr>
        <w:outlineLvl w:val="1"/>
      </w:pPr>
      <w:r/>
      <w:bookmarkStart w:id="286" w:name="_Toc25145"/>
      <w:r/>
      <w:bookmarkStart w:id="287" w:name="_Toc3496"/>
      <w:r>
        <w:rPr>
          <w:rFonts w:hint="eastAsia" w:ascii="宋体" w:hAnsi="宋体" w:eastAsia="宋体" w:cs="宋体"/>
          <w:b/>
          <w:color w:val="auto"/>
          <w:highlight w:val="none"/>
        </w:rPr>
        <w:t xml:space="preserve">3.6修改评标结果</w:t>
      </w:r>
      <w:bookmarkEnd w:id="286"/>
      <w:r/>
      <w:bookmarkEnd w:id="287"/>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评审组长负责汇总和核对各评标委员会成员的评审结果。在评标报告签署前，出现下列情形之一的，可以要求其当场修改评审结果：</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（1）分值汇总计算错误；</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（2）分项评分超出评分标准范围；</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（3）评标委员会成员对客观评审因素评分不一致；</w:t>
      </w:r>
      <w:r/>
    </w:p>
    <w:p>
      <w:pPr>
        <w:pStyle w:val="643"/>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（4）经评标委员会认定评分畸高或畸低。</w:t>
      </w:r>
      <w:r/>
    </w:p>
    <w:p>
      <w:pPr>
        <w:pStyle w:val="643"/>
        <w:spacing w:line="500" w:lineRule="exact"/>
        <w:rPr>
          <w:rFonts w:hint="eastAsia" w:ascii="宋体" w:hAnsi="宋体" w:eastAsia="宋体" w:cs="宋体"/>
          <w:b/>
          <w:color w:val="auto"/>
          <w:highlight w:val="none"/>
        </w:rPr>
        <w:outlineLvl w:val="1"/>
      </w:pPr>
      <w:r/>
      <w:bookmarkStart w:id="288" w:name="_Toc27105"/>
      <w:r/>
      <w:bookmarkStart w:id="289" w:name="_Toc12381"/>
      <w:r>
        <w:rPr>
          <w:rFonts w:hint="eastAsia" w:ascii="宋体" w:hAnsi="宋体" w:eastAsia="宋体" w:cs="宋体"/>
          <w:b/>
          <w:color w:val="auto"/>
          <w:highlight w:val="none"/>
        </w:rPr>
        <w:t xml:space="preserve">3.7 供应商总分相同</w:t>
      </w:r>
      <w:bookmarkEnd w:id="288"/>
      <w:r/>
      <w:bookmarkEnd w:id="289"/>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供应商总分相同时，投标报价低的排名优先；如投标报价也相同，由招标人抽签确定排序。</w:t>
      </w:r>
      <w:r/>
    </w:p>
    <w:p>
      <w:pPr>
        <w:pStyle w:val="643"/>
        <w:spacing w:line="500" w:lineRule="exact"/>
        <w:rPr>
          <w:rFonts w:hint="eastAsia" w:ascii="宋体" w:hAnsi="宋体" w:eastAsia="宋体" w:cs="宋体"/>
          <w:b/>
          <w:color w:val="auto"/>
          <w:highlight w:val="none"/>
        </w:rPr>
        <w:outlineLvl w:val="1"/>
      </w:pPr>
      <w:r/>
      <w:bookmarkStart w:id="290" w:name="_Toc14222"/>
      <w:r/>
      <w:bookmarkStart w:id="291" w:name="_Toc1491"/>
      <w:r>
        <w:rPr>
          <w:rFonts w:hint="eastAsia" w:ascii="宋体" w:hAnsi="宋体" w:eastAsia="宋体" w:cs="宋体"/>
          <w:b/>
          <w:color w:val="auto"/>
          <w:highlight w:val="none"/>
        </w:rPr>
        <w:t xml:space="preserve">3.8评标报告签署</w:t>
      </w:r>
      <w:bookmarkEnd w:id="290"/>
      <w:r/>
      <w:bookmarkEnd w:id="291"/>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3"/>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4.判定无效投标的规定</w:t>
      </w:r>
      <w:r/>
    </w:p>
    <w:p>
      <w:pPr>
        <w:pStyle w:val="643"/>
        <w:spacing w:after="0" w:line="500" w:lineRule="exact"/>
        <w:rPr>
          <w:rFonts w:hint="eastAsia" w:ascii="宋体" w:hAnsi="宋体" w:eastAsia="宋体" w:cs="宋体"/>
          <w:b/>
          <w:color w:val="auto"/>
          <w:spacing w:val="-14"/>
          <w:highlight w:val="none"/>
        </w:rPr>
      </w:pPr>
      <w:r>
        <w:rPr>
          <w:rFonts w:hint="eastAsia" w:ascii="宋体" w:hAnsi="宋体" w:eastAsia="宋体" w:cs="宋体"/>
          <w:b/>
          <w:color w:val="auto"/>
          <w:highlight w:val="none"/>
        </w:rPr>
        <w:t xml:space="preserve">4.1资格审查过程中，</w:t>
      </w:r>
      <w:r>
        <w:rPr>
          <w:rFonts w:hint="eastAsia" w:ascii="宋体" w:hAnsi="宋体" w:eastAsia="宋体" w:cs="宋体"/>
          <w:b/>
          <w:color w:val="auto"/>
          <w:spacing w:val="-14"/>
          <w:highlight w:val="none"/>
        </w:rPr>
        <w:t xml:space="preserve">投标文件出现不符合1.2项评审标准之一的，作无效标处理。</w:t>
      </w:r>
      <w:r/>
    </w:p>
    <w:p>
      <w:pPr>
        <w:pStyle w:val="643"/>
        <w:spacing w:after="0" w:line="500" w:lineRule="exact"/>
        <w:rPr>
          <w:rFonts w:hint="eastAsia" w:ascii="宋体" w:hAnsi="宋体" w:eastAsia="宋体" w:cs="宋体"/>
          <w:b/>
          <w:color w:val="auto"/>
          <w:spacing w:val="-14"/>
          <w:highlight w:val="none"/>
        </w:rPr>
        <w:outlineLvl w:val="1"/>
      </w:pPr>
      <w:r/>
      <w:bookmarkStart w:id="292" w:name="_Toc2805"/>
      <w:r/>
      <w:bookmarkStart w:id="293" w:name="_Toc31623"/>
      <w:r>
        <w:rPr>
          <w:rFonts w:hint="eastAsia" w:ascii="宋体" w:hAnsi="宋体" w:eastAsia="宋体" w:cs="宋体"/>
          <w:b/>
          <w:color w:val="auto"/>
          <w:spacing w:val="-14"/>
          <w:highlight w:val="none"/>
        </w:rPr>
        <w:t xml:space="preserve">4.2</w:t>
      </w:r>
      <w:r>
        <w:rPr>
          <w:rFonts w:hint="eastAsia" w:ascii="宋体" w:hAnsi="宋体" w:eastAsia="宋体" w:cs="宋体"/>
          <w:b/>
          <w:color w:val="auto"/>
          <w:highlight w:val="none"/>
        </w:rPr>
        <w:t xml:space="preserve">评标过程中，有下列情形之一的，作无效投标处理。</w:t>
      </w:r>
      <w:bookmarkEnd w:id="292"/>
      <w:r/>
      <w:bookmarkEnd w:id="293"/>
      <w:r/>
      <w:r/>
    </w:p>
    <w:p>
      <w:pPr>
        <w:pStyle w:val="643"/>
        <w:ind w:firstLine="480"/>
        <w:spacing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（1）符合性评审时，投标文件出现不符合2.2.2项评审标准之一的；</w:t>
      </w:r>
      <w:r/>
    </w:p>
    <w:p>
      <w:pPr>
        <w:pStyle w:val="643"/>
        <w:ind w:firstLine="480"/>
        <w:spacing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（2）供应商不确认评标委员会提出的投标报价修正意见的；</w:t>
      </w:r>
      <w:r/>
    </w:p>
    <w:p>
      <w:pPr>
        <w:pStyle w:val="643"/>
        <w:ind w:firstLine="480"/>
        <w:spacing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（3）未按照评标委员会要求提供书面说明及相关证明材料证明其报价合理性的；</w:t>
      </w:r>
      <w:r/>
    </w:p>
    <w:p>
      <w:pPr>
        <w:pStyle w:val="643"/>
        <w:ind w:firstLine="480"/>
        <w:spacing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（4）投标文件含有采购人不能接受的附加条件的。</w:t>
      </w:r>
      <w:r/>
    </w:p>
    <w:p>
      <w:pPr>
        <w:pStyle w:val="643"/>
        <w:spacing w:after="0" w:line="500" w:lineRule="exact"/>
        <w:rPr>
          <w:rFonts w:hint="eastAsia" w:ascii="宋体" w:hAnsi="宋体" w:eastAsia="宋体" w:cs="宋体"/>
          <w:b/>
          <w:color w:val="auto"/>
          <w:highlight w:val="none"/>
        </w:rPr>
        <w:outlineLvl w:val="1"/>
      </w:pPr>
      <w:r/>
      <w:bookmarkStart w:id="294" w:name="_Toc18044"/>
      <w:r/>
      <w:bookmarkStart w:id="295" w:name="_Toc14142"/>
      <w:r>
        <w:rPr>
          <w:rFonts w:hint="eastAsia" w:ascii="宋体" w:hAnsi="宋体" w:eastAsia="宋体" w:cs="宋体"/>
          <w:b/>
          <w:color w:val="auto"/>
          <w:highlight w:val="none"/>
        </w:rPr>
        <w:t xml:space="preserve">4.3法律、法规规定的其他投标无效情形。</w:t>
      </w:r>
      <w:bookmarkEnd w:id="253"/>
      <w:r/>
      <w:bookmarkEnd w:id="254"/>
      <w:r/>
      <w:bookmarkEnd w:id="255"/>
      <w:r/>
      <w:bookmarkEnd w:id="256"/>
      <w:r/>
      <w:bookmarkEnd w:id="257"/>
      <w:r/>
      <w:bookmarkEnd w:id="258"/>
      <w:r/>
      <w:bookmarkEnd w:id="259"/>
      <w:r/>
      <w:bookmarkEnd w:id="260"/>
      <w:r/>
      <w:bookmarkEnd w:id="273"/>
      <w:r/>
      <w:bookmarkEnd w:id="294"/>
      <w:r/>
      <w:bookmarkEnd w:id="295"/>
      <w:r/>
      <w:r/>
    </w:p>
    <w:p>
      <w:pPr>
        <w:pStyle w:val="64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
          <w:color w:val="auto"/>
          <w:highlight w:val="none"/>
        </w:rPr>
        <w:outlineLvl w:val="0"/>
      </w:pPr>
      <w:r/>
      <w:bookmarkStart w:id="296" w:name="_Toc390099086"/>
      <w:r/>
      <w:bookmarkStart w:id="297" w:name="_Toc383623741"/>
      <w:r/>
      <w:bookmarkStart w:id="298" w:name="_Toc383698715"/>
      <w:r/>
      <w:bookmarkStart w:id="299" w:name="_Toc390098908"/>
      <w:r/>
      <w:bookmarkStart w:id="300" w:name="_Toc383624013"/>
      <w:r/>
      <w:bookmarkStart w:id="301" w:name="_Toc383679815"/>
      <w:r/>
      <w:bookmarkStart w:id="302" w:name="_Toc390246973"/>
      <w:r/>
      <w:bookmarkStart w:id="303" w:name="_Toc383626062"/>
      <w:r/>
      <w:bookmarkStart w:id="304" w:name="_Toc425871381"/>
      <w:r>
        <w:rPr>
          <w:rFonts w:hint="eastAsia" w:ascii="宋体" w:hAnsi="宋体" w:eastAsia="宋体" w:cs="宋体"/>
          <w:b/>
          <w:color w:val="auto"/>
          <w:highlight w:val="none"/>
        </w:rPr>
        <w:br w:type="page" w:clear="all"/>
      </w:r>
      <w:r/>
    </w:p>
    <w:p>
      <w:pPr>
        <w:pStyle w:val="655"/>
        <w:numPr>
          <w:ilvl w:val="0"/>
          <w:numId w:val="3"/>
        </w:numPr>
        <w:ind w:left="0" w:firstLine="0"/>
        <w:jc w:val="center"/>
        <w:spacing w:line="500" w:lineRule="exact"/>
        <w:rPr>
          <w:rFonts w:hint="eastAsia" w:ascii="宋体" w:hAnsi="宋体" w:eastAsia="宋体" w:cs="宋体"/>
          <w:b/>
          <w:color w:val="auto"/>
          <w:highlight w:val="none"/>
        </w:rPr>
        <w:outlineLvl w:val="0"/>
      </w:pPr>
      <w:r/>
      <w:bookmarkStart w:id="305" w:name="_Toc1883"/>
      <w:r>
        <w:rPr>
          <w:rFonts w:hint="eastAsia" w:ascii="宋体" w:hAnsi="宋体" w:eastAsia="宋体" w:cs="宋体"/>
          <w:b/>
          <w:color w:val="auto"/>
          <w:highlight w:val="none"/>
        </w:rPr>
        <w:t xml:space="preserve">合同条款</w:t>
      </w:r>
      <w:bookmarkStart w:id="306" w:name="_Toc120614222"/>
      <w:r/>
      <w:bookmarkStart w:id="307" w:name="_Toc390246952"/>
      <w:r/>
      <w:bookmarkStart w:id="308" w:name="_Toc382813933"/>
      <w:r/>
      <w:bookmarkStart w:id="309" w:name="_Toc383623720"/>
      <w:r/>
      <w:bookmarkStart w:id="310" w:name="_Toc20823315"/>
      <w:r/>
      <w:bookmarkStart w:id="311" w:name="_Toc390099065"/>
      <w:r/>
      <w:bookmarkStart w:id="312" w:name="_Toc382811181"/>
      <w:r/>
      <w:bookmarkStart w:id="313" w:name="_Toc282446296"/>
      <w:r/>
      <w:bookmarkStart w:id="314" w:name="_Toc425871366"/>
      <w:r/>
      <w:bookmarkStart w:id="315" w:name="_Toc382812484"/>
      <w:r/>
      <w:bookmarkStart w:id="316" w:name="_Toc382814014"/>
      <w:r/>
      <w:bookmarkStart w:id="317" w:name="_Toc288030332"/>
      <w:r/>
      <w:bookmarkStart w:id="318" w:name="_Toc383623992"/>
      <w:r/>
      <w:bookmarkStart w:id="319" w:name="_Toc390098887"/>
      <w:r/>
      <w:bookmarkStart w:id="320" w:name="_Toc382811586"/>
      <w:r/>
      <w:bookmarkStart w:id="321" w:name="_Toc383626041"/>
      <w:r/>
      <w:bookmarkStart w:id="322" w:name="_Toc383698694"/>
      <w:r/>
      <w:bookmarkStart w:id="323" w:name="_Toc383679794"/>
      <w:r/>
      <w:bookmarkStart w:id="324" w:name="_Toc513029243"/>
      <w:r/>
      <w:bookmarkStart w:id="325" w:name="_Toc16938559"/>
      <w:r/>
      <w:bookmarkStart w:id="326" w:name="_Toc382812295"/>
      <w:r/>
      <w:bookmarkStart w:id="327" w:name="_Toc383587505"/>
      <w:r>
        <w:rPr>
          <w:rFonts w:hint="eastAsia" w:ascii="宋体" w:hAnsi="宋体" w:eastAsia="宋体" w:cs="宋体"/>
          <w:b/>
          <w:color w:val="auto"/>
          <w:highlight w:val="none"/>
        </w:rPr>
        <w:t xml:space="preserve">（仅供参考）</w:t>
      </w:r>
      <w:bookmarkEnd w:id="305"/>
      <w:r/>
      <w:r/>
    </w:p>
    <w:p>
      <w:pPr>
        <w:jc w:val="center"/>
        <w:spacing w:line="360" w:lineRule="auto"/>
        <w:shd w:val="clear" w:color="auto" w:fill="ffffff"/>
        <w:widowControl/>
        <w:rPr>
          <w:rFonts w:hint="eastAsia" w:ascii="宋体" w:hAnsi="宋体" w:eastAsia="宋体" w:cs="宋体"/>
          <w:b/>
          <w:bCs/>
          <w:color w:val="auto"/>
          <w:highlight w:val="none"/>
        </w:rPr>
        <w:outlineLvl w:val="1"/>
      </w:pPr>
      <w:r/>
      <w:bookmarkStart w:id="328" w:name="_Toc11700"/>
      <w:r/>
      <w:bookmarkStart w:id="329" w:name="_Toc26484"/>
      <w:r>
        <w:rPr>
          <w:rFonts w:hint="eastAsia" w:ascii="宋体" w:hAnsi="宋体" w:eastAsia="宋体" w:cs="宋体"/>
          <w:b/>
          <w:bCs/>
          <w:color w:val="auto"/>
          <w:highlight w:val="none"/>
        </w:rPr>
        <w:t xml:space="preserve">（本项目最终签订的合同由合同双方协商后确定）</w:t>
      </w:r>
      <w:bookmarkEnd w:id="328"/>
      <w:r/>
      <w:bookmarkEnd w:id="329"/>
      <w:r/>
      <w:r/>
    </w:p>
    <w:p>
      <w:pPr>
        <w:ind w:firstLine="560"/>
        <w:spacing w:line="560" w:lineRule="exact"/>
        <w:rPr>
          <w:rFonts w:hint="eastAsia" w:ascii="宋体" w:hAnsi="宋体" w:eastAsia="宋体" w:cs="宋体"/>
          <w:bCs/>
          <w:color w:val="auto"/>
          <w:sz w:val="28"/>
          <w:szCs w:val="32"/>
          <w:highlight w:val="none"/>
        </w:rPr>
      </w:pPr>
      <w:r>
        <w:rPr>
          <w:rFonts w:hint="eastAsia" w:ascii="宋体" w:hAnsi="宋体" w:eastAsia="宋体" w:cs="宋体"/>
          <w:bCs/>
          <w:color w:val="auto"/>
          <w:sz w:val="28"/>
          <w:szCs w:val="32"/>
          <w:highlight w:val="none"/>
        </w:rPr>
        <w:t xml:space="preserve">一、通用合同条款部分</w:t>
      </w:r>
      <w:r/>
    </w:p>
    <w:p>
      <w:pPr>
        <w:ind w:firstLine="562"/>
        <w:spacing w:line="500" w:lineRule="exact"/>
        <w:rPr>
          <w:rFonts w:hint="eastAsia" w:ascii="宋体" w:hAnsi="宋体" w:eastAsia="宋体" w:cs="宋体"/>
          <w:b/>
          <w:bCs/>
          <w:color w:val="auto"/>
          <w:sz w:val="28"/>
          <w:szCs w:val="32"/>
          <w:highlight w:val="none"/>
        </w:rPr>
      </w:pPr>
      <w:r/>
      <w:bookmarkStart w:id="330" w:name="_Toc425871367"/>
      <w:r/>
      <w:bookmarkStart w:id="331" w:name="_Toc383623993"/>
      <w:r/>
      <w:bookmarkStart w:id="332" w:name="_Toc383623721"/>
      <w:r/>
      <w:bookmarkStart w:id="333" w:name="_Toc382812486"/>
      <w:r/>
      <w:bookmarkStart w:id="334" w:name="_Toc383698695"/>
      <w:r/>
      <w:bookmarkStart w:id="335" w:name="_Toc16938561"/>
      <w:r/>
      <w:bookmarkStart w:id="336" w:name="_Toc382812297"/>
      <w:r/>
      <w:bookmarkStart w:id="337" w:name="_Toc383587507"/>
      <w:r/>
      <w:bookmarkStart w:id="338" w:name="_Toc390098888"/>
      <w:r/>
      <w:bookmarkStart w:id="339" w:name="_Toc120614224"/>
      <w:r/>
      <w:bookmarkStart w:id="340" w:name="_Toc383679795"/>
      <w:r/>
      <w:bookmarkStart w:id="341" w:name="_Toc20823317"/>
      <w:r/>
      <w:bookmarkStart w:id="342" w:name="_Toc288030334"/>
      <w:r/>
      <w:bookmarkStart w:id="343" w:name="_Toc382811588"/>
      <w:r/>
      <w:bookmarkStart w:id="344" w:name="_Toc382814016"/>
      <w:r/>
      <w:bookmarkStart w:id="345" w:name="_Toc382813935"/>
      <w:r/>
      <w:bookmarkStart w:id="346" w:name="_Toc382811183"/>
      <w:r/>
      <w:bookmarkStart w:id="347" w:name="_Toc282446298"/>
      <w:r/>
      <w:bookmarkStart w:id="348" w:name="_Toc390246953"/>
      <w:r/>
      <w:bookmarkStart w:id="349" w:name="_Toc383626042"/>
      <w:r/>
      <w:bookmarkStart w:id="350" w:name="_Toc513029245"/>
      <w:r/>
      <w:bookmarkStart w:id="351" w:name="_Toc390099066"/>
      <w:r>
        <w:rPr>
          <w:rFonts w:hint="eastAsia" w:ascii="宋体" w:hAnsi="宋体" w:eastAsia="宋体" w:cs="宋体"/>
          <w:b/>
          <w:bCs/>
          <w:color w:val="auto"/>
          <w:sz w:val="28"/>
          <w:szCs w:val="32"/>
          <w:highlight w:val="none"/>
        </w:rPr>
        <w:t xml:space="preserve">1.定义</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本合同中的下列术语应解释为：</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1.1“合同”系指买方、见证方与卖方签署的、合同格式中载明的买方与卖方所达成的协议，包括所有的附件、附录和构成合同的所有文件。</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1.2“合同价”系指根据合同规定，卖方在正确地完全履行合同义务后买方应支付给卖方的价格。</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1.3“服务”系指根据合同规定卖方承担与供货有关所有的辅助服务，如运输、保险以及其它的伴随服务，比如安装、调试、测试、提供技术服务、培训和其他所有的卖方应承担的义务。</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1.4“买方”系指购买服务的</w:t>
      </w:r>
      <w:r>
        <w:rPr>
          <w:rFonts w:hint="eastAsia" w:ascii="宋体" w:hAnsi="宋体" w:cs="宋体"/>
          <w:color w:val="auto"/>
          <w:sz w:val="28"/>
          <w:szCs w:val="32"/>
          <w:highlight w:val="none"/>
          <w:lang w:val="en-US" w:eastAsia="zh-CN"/>
        </w:rPr>
        <w:t xml:space="preserve">                 </w:t>
      </w:r>
      <w:r>
        <w:rPr>
          <w:rFonts w:hint="eastAsia" w:ascii="宋体" w:hAnsi="宋体" w:eastAsia="宋体" w:cs="宋体"/>
          <w:color w:val="auto"/>
          <w:sz w:val="28"/>
          <w:szCs w:val="32"/>
          <w:highlight w:val="none"/>
        </w:rPr>
        <w:t xml:space="preserve">。</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1.5“卖方”系指提供服务的中标供应商。</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1.6“见证方”系指采购人。</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1.7“采购人”系指购买服务的               。</w:t>
      </w:r>
      <w:r/>
    </w:p>
    <w:p>
      <w:pPr>
        <w:ind w:firstLine="562"/>
        <w:spacing w:line="500" w:lineRule="exact"/>
        <w:rPr>
          <w:rFonts w:hint="eastAsia" w:ascii="宋体" w:hAnsi="宋体" w:eastAsia="宋体" w:cs="宋体"/>
          <w:b/>
          <w:bCs/>
          <w:color w:val="auto"/>
          <w:sz w:val="28"/>
          <w:szCs w:val="32"/>
          <w:highlight w:val="none"/>
        </w:rPr>
      </w:pPr>
      <w:r/>
      <w:bookmarkStart w:id="352" w:name="_Toc288030335"/>
      <w:r/>
      <w:bookmarkStart w:id="353" w:name="_Toc513029246"/>
      <w:r/>
      <w:bookmarkStart w:id="354" w:name="_Toc16938562"/>
      <w:r/>
      <w:bookmarkStart w:id="355" w:name="_Toc20823318"/>
      <w:r/>
      <w:bookmarkStart w:id="356" w:name="_Toc120614225"/>
      <w:r/>
      <w:bookmarkStart w:id="357" w:name="_Toc282446299"/>
      <w:r/>
      <w:bookmarkStart w:id="358" w:name="_Toc382812298"/>
      <w:r/>
      <w:bookmarkStart w:id="359" w:name="_Toc390246954"/>
      <w:r/>
      <w:bookmarkStart w:id="360" w:name="_Toc382813936"/>
      <w:r/>
      <w:bookmarkStart w:id="361" w:name="_Toc383623994"/>
      <w:r/>
      <w:bookmarkStart w:id="362" w:name="_Toc390098889"/>
      <w:r/>
      <w:bookmarkStart w:id="363" w:name="_Toc382814017"/>
      <w:r/>
      <w:bookmarkStart w:id="364" w:name="_Toc425871368"/>
      <w:r/>
      <w:bookmarkStart w:id="365" w:name="_Toc383679796"/>
      <w:r/>
      <w:bookmarkStart w:id="366" w:name="_Toc383623722"/>
      <w:r/>
      <w:bookmarkStart w:id="367" w:name="_Toc382811589"/>
      <w:r/>
      <w:bookmarkStart w:id="368" w:name="_Toc382811184"/>
      <w:r/>
      <w:bookmarkStart w:id="369" w:name="_Toc382812487"/>
      <w:r/>
      <w:bookmarkStart w:id="370" w:name="_Toc383698696"/>
      <w:r/>
      <w:bookmarkStart w:id="371" w:name="_Toc383626043"/>
      <w:r/>
      <w:bookmarkStart w:id="372" w:name="_Toc383587508"/>
      <w:r/>
      <w:bookmarkStart w:id="373" w:name="_Toc390099067"/>
      <w:r>
        <w:rPr>
          <w:rFonts w:hint="eastAsia" w:ascii="宋体" w:hAnsi="宋体" w:eastAsia="宋体" w:cs="宋体"/>
          <w:b/>
          <w:bCs/>
          <w:color w:val="auto"/>
          <w:sz w:val="28"/>
          <w:szCs w:val="32"/>
          <w:highlight w:val="none"/>
        </w:rPr>
        <w:t xml:space="preserve">2.技术</w:t>
      </w:r>
      <w:bookmarkEnd w:id="352"/>
      <w:r/>
      <w:bookmarkEnd w:id="353"/>
      <w:r/>
      <w:bookmarkEnd w:id="354"/>
      <w:r/>
      <w:bookmarkEnd w:id="355"/>
      <w:r/>
      <w:bookmarkEnd w:id="356"/>
      <w:r/>
      <w:bookmarkEnd w:id="357"/>
      <w:r>
        <w:rPr>
          <w:rFonts w:hint="eastAsia" w:ascii="宋体" w:hAnsi="宋体" w:eastAsia="宋体" w:cs="宋体"/>
          <w:b/>
          <w:bCs/>
          <w:color w:val="auto"/>
          <w:sz w:val="28"/>
          <w:szCs w:val="32"/>
          <w:highlight w:val="none"/>
        </w:rPr>
        <w:t xml:space="preserve">规范</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卖方所提供服务的技术规格、内容应与招标文件规定的业务要求相一致；若技术性能无相应说明，则按国家有关部门最新颁布的标准及规范为准。</w:t>
      </w:r>
      <w:r/>
    </w:p>
    <w:p>
      <w:pPr>
        <w:ind w:firstLine="562"/>
        <w:spacing w:line="500" w:lineRule="exact"/>
        <w:rPr>
          <w:rFonts w:hint="eastAsia" w:ascii="宋体" w:hAnsi="宋体" w:eastAsia="宋体" w:cs="宋体"/>
          <w:b/>
          <w:bCs/>
          <w:color w:val="auto"/>
          <w:sz w:val="28"/>
          <w:szCs w:val="32"/>
          <w:highlight w:val="none"/>
        </w:rPr>
      </w:pPr>
      <w:r/>
      <w:bookmarkStart w:id="374" w:name="_Toc425871369"/>
      <w:r/>
      <w:bookmarkStart w:id="375" w:name="_Toc390099068"/>
      <w:r/>
      <w:bookmarkStart w:id="376" w:name="_Toc120614226"/>
      <w:r/>
      <w:bookmarkStart w:id="377" w:name="_Toc383626044"/>
      <w:r/>
      <w:bookmarkStart w:id="378" w:name="_Toc383623723"/>
      <w:r/>
      <w:bookmarkStart w:id="379" w:name="_Toc383679797"/>
      <w:r/>
      <w:bookmarkStart w:id="380" w:name="_Toc383623995"/>
      <w:r/>
      <w:bookmarkStart w:id="381" w:name="_Toc282446300"/>
      <w:r/>
      <w:bookmarkStart w:id="382" w:name="_Toc16938563"/>
      <w:r/>
      <w:bookmarkStart w:id="383" w:name="_Toc513029247"/>
      <w:r/>
      <w:bookmarkStart w:id="384" w:name="_Toc288030336"/>
      <w:r/>
      <w:bookmarkStart w:id="385" w:name="_Toc382811185"/>
      <w:r/>
      <w:bookmarkStart w:id="386" w:name="_Toc382813937"/>
      <w:r/>
      <w:bookmarkStart w:id="387" w:name="_Toc382812299"/>
      <w:r/>
      <w:bookmarkStart w:id="388" w:name="_Toc390246955"/>
      <w:r/>
      <w:bookmarkStart w:id="389" w:name="_Toc390098890"/>
      <w:r/>
      <w:bookmarkStart w:id="390" w:name="_Toc383698697"/>
      <w:r/>
      <w:bookmarkStart w:id="391" w:name="_Toc20823319"/>
      <w:r/>
      <w:bookmarkStart w:id="392" w:name="_Toc382814018"/>
      <w:r/>
      <w:bookmarkStart w:id="393" w:name="_Toc382811590"/>
      <w:r/>
      <w:bookmarkStart w:id="394" w:name="_Toc382812488"/>
      <w:r/>
      <w:bookmarkStart w:id="395" w:name="_Toc383587509"/>
      <w:r>
        <w:rPr>
          <w:rFonts w:hint="eastAsia" w:ascii="宋体" w:hAnsi="宋体" w:eastAsia="宋体" w:cs="宋体"/>
          <w:b/>
          <w:bCs/>
          <w:color w:val="auto"/>
          <w:sz w:val="28"/>
          <w:szCs w:val="32"/>
          <w:highlight w:val="none"/>
        </w:rPr>
        <w:t xml:space="preserve">3.专利权及版权</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2"/>
        <w:spacing w:line="500" w:lineRule="exact"/>
        <w:rPr>
          <w:rFonts w:hint="eastAsia" w:ascii="宋体" w:hAnsi="宋体" w:eastAsia="宋体" w:cs="宋体"/>
          <w:b/>
          <w:bCs/>
          <w:color w:val="auto"/>
          <w:sz w:val="28"/>
          <w:szCs w:val="32"/>
          <w:highlight w:val="none"/>
        </w:rPr>
      </w:pPr>
      <w:r/>
      <w:bookmarkStart w:id="396" w:name="_Toc16938564"/>
      <w:r/>
      <w:bookmarkStart w:id="397" w:name="_Toc120614227"/>
      <w:r/>
      <w:bookmarkStart w:id="398" w:name="_Toc282446301"/>
      <w:r/>
      <w:bookmarkStart w:id="399" w:name="_Toc20823320"/>
      <w:r/>
      <w:bookmarkStart w:id="400" w:name="_Toc288030337"/>
      <w:r/>
      <w:bookmarkStart w:id="401" w:name="_Toc513029248"/>
      <w:r/>
      <w:bookmarkStart w:id="402" w:name="_Toc383679798"/>
      <w:r/>
      <w:bookmarkStart w:id="403" w:name="_Toc390099069"/>
      <w:r/>
      <w:bookmarkStart w:id="404" w:name="_Toc425871370"/>
      <w:r/>
      <w:bookmarkStart w:id="405" w:name="_Toc390246956"/>
      <w:r/>
      <w:bookmarkStart w:id="406" w:name="_Toc382813938"/>
      <w:r/>
      <w:bookmarkStart w:id="407" w:name="_Toc382814019"/>
      <w:r/>
      <w:bookmarkStart w:id="408" w:name="_Toc383623996"/>
      <w:r/>
      <w:bookmarkStart w:id="409" w:name="_Toc383698698"/>
      <w:r/>
      <w:bookmarkStart w:id="410" w:name="_Toc383626045"/>
      <w:r/>
      <w:bookmarkStart w:id="411" w:name="_Toc383623724"/>
      <w:r/>
      <w:bookmarkStart w:id="412" w:name="_Toc390098891"/>
      <w:r/>
      <w:bookmarkStart w:id="413" w:name="_Toc383587510"/>
      <w:r>
        <w:rPr>
          <w:rFonts w:hint="eastAsia" w:ascii="宋体" w:hAnsi="宋体" w:eastAsia="宋体" w:cs="宋体"/>
          <w:b/>
          <w:bCs/>
          <w:color w:val="auto"/>
          <w:sz w:val="28"/>
          <w:szCs w:val="32"/>
          <w:highlight w:val="none"/>
        </w:rPr>
        <w:t xml:space="preserve">4</w:t>
      </w:r>
      <w:bookmarkEnd w:id="396"/>
      <w:r/>
      <w:bookmarkEnd w:id="397"/>
      <w:r/>
      <w:bookmarkEnd w:id="398"/>
      <w:r/>
      <w:bookmarkEnd w:id="399"/>
      <w:r/>
      <w:bookmarkEnd w:id="400"/>
      <w:r/>
      <w:bookmarkEnd w:id="401"/>
      <w:r/>
      <w:bookmarkStart w:id="414" w:name="_Toc120614229"/>
      <w:r/>
      <w:bookmarkStart w:id="415" w:name="_Toc288030339"/>
      <w:r/>
      <w:bookmarkStart w:id="416" w:name="_Toc20823322"/>
      <w:r/>
      <w:bookmarkStart w:id="417" w:name="_Toc282446303"/>
      <w:r/>
      <w:bookmarkStart w:id="418" w:name="_Toc16938566"/>
      <w:r/>
      <w:bookmarkStart w:id="419" w:name="_Toc513029250"/>
      <w:r>
        <w:rPr>
          <w:rFonts w:hint="eastAsia" w:ascii="宋体" w:hAnsi="宋体" w:eastAsia="宋体" w:cs="宋体"/>
          <w:b/>
          <w:bCs/>
          <w:color w:val="auto"/>
          <w:sz w:val="28"/>
          <w:szCs w:val="32"/>
          <w:highlight w:val="none"/>
        </w:rPr>
        <w:t xml:space="preserve">.付款</w:t>
      </w:r>
      <w:bookmarkEnd w:id="414"/>
      <w:r/>
      <w:bookmarkEnd w:id="415"/>
      <w:r/>
      <w:bookmarkEnd w:id="416"/>
      <w:r/>
      <w:bookmarkEnd w:id="417"/>
      <w:r/>
      <w:bookmarkEnd w:id="418"/>
      <w:r/>
      <w:bookmarkEnd w:id="419"/>
      <w:r>
        <w:rPr>
          <w:rFonts w:hint="eastAsia" w:ascii="宋体" w:hAnsi="宋体" w:eastAsia="宋体" w:cs="宋体"/>
          <w:b/>
          <w:bCs/>
          <w:color w:val="auto"/>
          <w:sz w:val="28"/>
          <w:szCs w:val="32"/>
          <w:highlight w:val="none"/>
        </w:rPr>
        <w:t xml:space="preserve">方式</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4.1本合同以人民币付款。</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4.2付款方式见合同专用条款。</w:t>
      </w:r>
      <w:r/>
    </w:p>
    <w:p>
      <w:pPr>
        <w:ind w:firstLine="562"/>
        <w:spacing w:line="500" w:lineRule="exact"/>
        <w:rPr>
          <w:rFonts w:hint="eastAsia" w:ascii="宋体" w:hAnsi="宋体" w:eastAsia="宋体" w:cs="宋体"/>
          <w:b/>
          <w:bCs/>
          <w:color w:val="auto"/>
          <w:sz w:val="28"/>
          <w:szCs w:val="32"/>
          <w:highlight w:val="none"/>
        </w:rPr>
      </w:pPr>
      <w:r/>
      <w:bookmarkStart w:id="420" w:name="_Toc383623725"/>
      <w:r/>
      <w:bookmarkStart w:id="421" w:name="_Toc390098892"/>
      <w:r/>
      <w:bookmarkStart w:id="422" w:name="_Toc382812300"/>
      <w:r/>
      <w:bookmarkStart w:id="423" w:name="_Toc383623997"/>
      <w:r/>
      <w:bookmarkStart w:id="424" w:name="_Toc390099070"/>
      <w:r/>
      <w:bookmarkStart w:id="425" w:name="_Toc383679799"/>
      <w:r/>
      <w:bookmarkStart w:id="426" w:name="_Toc120614230"/>
      <w:r/>
      <w:bookmarkStart w:id="427" w:name="_Toc382813939"/>
      <w:r/>
      <w:bookmarkStart w:id="428" w:name="_Toc383626046"/>
      <w:r/>
      <w:bookmarkStart w:id="429" w:name="_Toc382811186"/>
      <w:r/>
      <w:bookmarkStart w:id="430" w:name="_Toc425871371"/>
      <w:r/>
      <w:bookmarkStart w:id="431" w:name="_Toc390246957"/>
      <w:r/>
      <w:bookmarkStart w:id="432" w:name="_Toc382812489"/>
      <w:r/>
      <w:bookmarkStart w:id="433" w:name="_Toc20823323"/>
      <w:r/>
      <w:bookmarkStart w:id="434" w:name="_Toc382811591"/>
      <w:r/>
      <w:bookmarkStart w:id="435" w:name="_Toc383587511"/>
      <w:r/>
      <w:bookmarkStart w:id="436" w:name="_Toc288030340"/>
      <w:r/>
      <w:bookmarkStart w:id="437" w:name="_Toc16938567"/>
      <w:r/>
      <w:bookmarkStart w:id="438" w:name="_Toc513029251"/>
      <w:r/>
      <w:bookmarkStart w:id="439" w:name="_Toc282446304"/>
      <w:r/>
      <w:bookmarkStart w:id="440" w:name="_Toc383698699"/>
      <w:r/>
      <w:bookmarkStart w:id="441" w:name="_Toc382814020"/>
      <w:r>
        <w:rPr>
          <w:rFonts w:hint="eastAsia" w:ascii="宋体" w:hAnsi="宋体" w:eastAsia="宋体" w:cs="宋体"/>
          <w:b/>
          <w:bCs/>
          <w:color w:val="auto"/>
          <w:sz w:val="28"/>
          <w:szCs w:val="32"/>
          <w:highlight w:val="none"/>
        </w:rPr>
        <w:t xml:space="preserve">5.伴随服务</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5.1卖方应按照投标文件的承诺和合同中所附的服务承诺提供服务。</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5.2除本章第5.1条规定外，卖方还应提供下列服务：</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5.2.1服务的现场质量管理与监督；</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5.2.2提供服务和维护所需的工具；</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5.2.3在合同中卖方承诺的期限内对所提供服务实施运行监督、维护，但前提条件是该服务并不能免除卖方在质量保证期内应承担的义务；</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5.2.4对服务人员进行培训。</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5.3伴随服务的费用应含在合同价中，不单独进行支付。</w:t>
      </w:r>
      <w:r/>
    </w:p>
    <w:p>
      <w:pPr>
        <w:ind w:firstLine="562"/>
        <w:spacing w:line="500" w:lineRule="exact"/>
        <w:rPr>
          <w:rFonts w:hint="eastAsia" w:ascii="宋体" w:hAnsi="宋体" w:eastAsia="宋体" w:cs="宋体"/>
          <w:b/>
          <w:bCs/>
          <w:color w:val="auto"/>
          <w:sz w:val="28"/>
          <w:szCs w:val="32"/>
          <w:highlight w:val="none"/>
        </w:rPr>
      </w:pPr>
      <w:r/>
      <w:bookmarkStart w:id="442" w:name="_Toc382812301"/>
      <w:r/>
      <w:bookmarkStart w:id="443" w:name="_Toc383623998"/>
      <w:r/>
      <w:bookmarkStart w:id="444" w:name="_Toc383626047"/>
      <w:r/>
      <w:bookmarkStart w:id="445" w:name="_Toc288030341"/>
      <w:r/>
      <w:bookmarkStart w:id="446" w:name="_Toc425871372"/>
      <w:r/>
      <w:bookmarkStart w:id="447" w:name="_Toc390099071"/>
      <w:r/>
      <w:bookmarkStart w:id="448" w:name="_Toc383587512"/>
      <w:r/>
      <w:bookmarkStart w:id="449" w:name="_Toc390246958"/>
      <w:r/>
      <w:bookmarkStart w:id="450" w:name="_Toc382811187"/>
      <w:r/>
      <w:bookmarkStart w:id="451" w:name="_Toc382811592"/>
      <w:r/>
      <w:bookmarkStart w:id="452" w:name="_Toc382812490"/>
      <w:r/>
      <w:bookmarkStart w:id="453" w:name="_Toc282446305"/>
      <w:r/>
      <w:bookmarkStart w:id="454" w:name="_Toc382813940"/>
      <w:r/>
      <w:bookmarkStart w:id="455" w:name="_Toc383698700"/>
      <w:r/>
      <w:bookmarkStart w:id="456" w:name="_Toc382814021"/>
      <w:r/>
      <w:bookmarkStart w:id="457" w:name="_Toc20823324"/>
      <w:r/>
      <w:bookmarkStart w:id="458" w:name="_Toc16938568"/>
      <w:r/>
      <w:bookmarkStart w:id="459" w:name="_Toc390098893"/>
      <w:r/>
      <w:bookmarkStart w:id="460" w:name="_Toc383679800"/>
      <w:r/>
      <w:bookmarkStart w:id="461" w:name="_Toc383623726"/>
      <w:r/>
      <w:bookmarkStart w:id="462" w:name="_Toc513029252"/>
      <w:r/>
      <w:bookmarkStart w:id="463" w:name="_Toc120614231"/>
      <w:r>
        <w:rPr>
          <w:rFonts w:hint="eastAsia" w:ascii="宋体" w:hAnsi="宋体" w:eastAsia="宋体" w:cs="宋体"/>
          <w:b/>
          <w:bCs/>
          <w:color w:val="auto"/>
          <w:sz w:val="28"/>
          <w:szCs w:val="32"/>
          <w:highlight w:val="none"/>
        </w:rPr>
        <w:t xml:space="preserve">6.质量保证</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6.1供应商所提供服务必须遵守各种国家和部颁标准及有关规定。</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6.2供应商所提供服务必须达到本招标文件中规定的要求。</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6.3履行本合同的过程中，确因在现有水平和条件下难以克服的技术困难，导致部分或全部达不到招标规定的服务标准，乙方应当承担违约责任。</w:t>
      </w:r>
      <w:r/>
    </w:p>
    <w:p>
      <w:pPr>
        <w:ind w:firstLine="562"/>
        <w:spacing w:line="500" w:lineRule="exact"/>
        <w:rPr>
          <w:rFonts w:hint="eastAsia" w:ascii="宋体" w:hAnsi="宋体" w:eastAsia="宋体" w:cs="宋体"/>
          <w:b/>
          <w:bCs/>
          <w:color w:val="auto"/>
          <w:sz w:val="28"/>
          <w:szCs w:val="32"/>
          <w:highlight w:val="none"/>
        </w:rPr>
      </w:pPr>
      <w:r/>
      <w:bookmarkStart w:id="464" w:name="_Toc513029254"/>
      <w:r/>
      <w:bookmarkStart w:id="465" w:name="_Toc16938570"/>
      <w:r/>
      <w:bookmarkStart w:id="466" w:name="_Toc282446307"/>
      <w:r/>
      <w:bookmarkStart w:id="467" w:name="_Toc120614233"/>
      <w:r/>
      <w:bookmarkStart w:id="468" w:name="_Toc288030343"/>
      <w:r/>
      <w:bookmarkStart w:id="469" w:name="_Toc20823326"/>
      <w:r/>
      <w:bookmarkStart w:id="470" w:name="_Toc425871373"/>
      <w:r/>
      <w:bookmarkStart w:id="471" w:name="_Toc399228176"/>
      <w:r/>
      <w:bookmarkStart w:id="472" w:name="_Toc399853485"/>
      <w:r/>
      <w:bookmarkStart w:id="473" w:name="_Toc399227843"/>
      <w:r/>
      <w:bookmarkStart w:id="474" w:name="_Toc399658018"/>
      <w:r>
        <w:rPr>
          <w:rFonts w:hint="eastAsia" w:ascii="宋体" w:hAnsi="宋体" w:eastAsia="宋体" w:cs="宋体"/>
          <w:b/>
          <w:bCs/>
          <w:color w:val="auto"/>
          <w:sz w:val="28"/>
          <w:szCs w:val="32"/>
          <w:highlight w:val="none"/>
        </w:rPr>
        <w:t xml:space="preserve">7</w:t>
      </w:r>
      <w:bookmarkEnd w:id="464"/>
      <w:r/>
      <w:bookmarkEnd w:id="465"/>
      <w:r/>
      <w:bookmarkEnd w:id="466"/>
      <w:r/>
      <w:bookmarkEnd w:id="467"/>
      <w:r/>
      <w:bookmarkEnd w:id="468"/>
      <w:r/>
      <w:bookmarkEnd w:id="469"/>
      <w:r/>
      <w:bookmarkStart w:id="475" w:name="_Toc513029257"/>
      <w:r/>
      <w:bookmarkStart w:id="476" w:name="_Toc282446310"/>
      <w:r/>
      <w:bookmarkStart w:id="477" w:name="_Toc288030346"/>
      <w:r/>
      <w:bookmarkStart w:id="478" w:name="_Toc120614236"/>
      <w:r/>
      <w:bookmarkStart w:id="479" w:name="_Toc16938573"/>
      <w:r/>
      <w:bookmarkStart w:id="480" w:name="_Toc20823329"/>
      <w:r>
        <w:rPr>
          <w:rFonts w:hint="eastAsia" w:ascii="宋体" w:hAnsi="宋体" w:eastAsia="宋体" w:cs="宋体"/>
          <w:b/>
          <w:bCs/>
          <w:color w:val="auto"/>
          <w:sz w:val="28"/>
          <w:szCs w:val="32"/>
          <w:highlight w:val="none"/>
        </w:rPr>
        <w:t xml:space="preserve">.不可抗力</w:t>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7.1尽管有合同条款第11条、12条的规定，如果卖方因不可抗力而导致合同实施延误或不能履行合同义务的话，不应该被没收履约保证金，也不应该承担误期赔偿的责任。</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7.2本条所述的“不可抗力”系指那些卖方无法控制、不可预见的事件，但不包括卖方的违约或疏忽。这些事件包括：战争、严重火灾、洪水、台风、地震以及其它买方和卖方商定的事件。</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天以上时，买方有权终止与卖方的合同，买方也可以和卖方通过友好协商在合理的时间内达成进一步履行合同的协议。</w:t>
      </w:r>
      <w:r/>
    </w:p>
    <w:p>
      <w:pPr>
        <w:ind w:firstLine="562"/>
        <w:spacing w:line="500" w:lineRule="exact"/>
        <w:rPr>
          <w:rFonts w:hint="eastAsia" w:ascii="宋体" w:hAnsi="宋体" w:eastAsia="宋体" w:cs="宋体"/>
          <w:b/>
          <w:bCs/>
          <w:color w:val="auto"/>
          <w:sz w:val="28"/>
          <w:szCs w:val="32"/>
          <w:highlight w:val="none"/>
        </w:rPr>
      </w:pPr>
      <w:r/>
      <w:bookmarkStart w:id="481" w:name="_Toc399228177"/>
      <w:r/>
      <w:bookmarkStart w:id="482" w:name="_Toc399853486"/>
      <w:r/>
      <w:bookmarkStart w:id="483" w:name="_Toc282446311"/>
      <w:r/>
      <w:bookmarkStart w:id="484" w:name="_Toc399658019"/>
      <w:r/>
      <w:bookmarkStart w:id="485" w:name="_Toc399227844"/>
      <w:r/>
      <w:bookmarkStart w:id="486" w:name="_Toc120614237"/>
      <w:r/>
      <w:bookmarkStart w:id="487" w:name="_Toc288030347"/>
      <w:r/>
      <w:bookmarkStart w:id="488" w:name="_Toc16938574"/>
      <w:r/>
      <w:bookmarkStart w:id="489" w:name="_Toc20823330"/>
      <w:r/>
      <w:bookmarkStart w:id="490" w:name="_Toc513029258"/>
      <w:r/>
      <w:bookmarkStart w:id="491" w:name="_Toc425871374"/>
      <w:r>
        <w:rPr>
          <w:rFonts w:hint="eastAsia" w:ascii="宋体" w:hAnsi="宋体" w:eastAsia="宋体" w:cs="宋体"/>
          <w:b/>
          <w:bCs/>
          <w:color w:val="auto"/>
          <w:sz w:val="28"/>
          <w:szCs w:val="32"/>
          <w:highlight w:val="none"/>
        </w:rPr>
        <w:t xml:space="preserve">8.税费</w:t>
      </w:r>
      <w:bookmarkEnd w:id="481"/>
      <w:r/>
      <w:bookmarkEnd w:id="482"/>
      <w:r/>
      <w:bookmarkEnd w:id="483"/>
      <w:r/>
      <w:bookmarkEnd w:id="484"/>
      <w:r/>
      <w:bookmarkEnd w:id="485"/>
      <w:r/>
      <w:bookmarkEnd w:id="486"/>
      <w:r/>
      <w:bookmarkEnd w:id="487"/>
      <w:r/>
      <w:bookmarkEnd w:id="488"/>
      <w:r/>
      <w:bookmarkEnd w:id="489"/>
      <w:r/>
      <w:bookmarkEnd w:id="490"/>
      <w:r/>
      <w:bookmarkEnd w:id="491"/>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本项目实施过程中发生的一切税费均由卖方承担。</w:t>
      </w:r>
      <w:r/>
    </w:p>
    <w:p>
      <w:pPr>
        <w:ind w:firstLine="562"/>
        <w:spacing w:line="500" w:lineRule="exact"/>
        <w:rPr>
          <w:rFonts w:hint="eastAsia" w:ascii="宋体" w:hAnsi="宋体" w:eastAsia="宋体" w:cs="宋体"/>
          <w:b/>
          <w:bCs/>
          <w:color w:val="auto"/>
          <w:sz w:val="28"/>
          <w:szCs w:val="32"/>
          <w:highlight w:val="none"/>
        </w:rPr>
      </w:pPr>
      <w:r/>
      <w:bookmarkStart w:id="492" w:name="_Toc513029259"/>
      <w:r/>
      <w:bookmarkStart w:id="493" w:name="_Toc20823331"/>
      <w:r/>
      <w:bookmarkStart w:id="494" w:name="_Toc399853487"/>
      <w:r/>
      <w:bookmarkStart w:id="495" w:name="_Toc288030348"/>
      <w:r/>
      <w:bookmarkStart w:id="496" w:name="_Toc399658020"/>
      <w:r/>
      <w:bookmarkStart w:id="497" w:name="_Toc399228178"/>
      <w:r/>
      <w:bookmarkStart w:id="498" w:name="_Toc282446312"/>
      <w:r/>
      <w:bookmarkStart w:id="499" w:name="_Toc425871375"/>
      <w:r/>
      <w:bookmarkStart w:id="500" w:name="_Toc399227845"/>
      <w:r/>
      <w:bookmarkStart w:id="501" w:name="_Toc16938575"/>
      <w:r/>
      <w:bookmarkStart w:id="502" w:name="_Toc120614238"/>
      <w:r>
        <w:rPr>
          <w:rFonts w:hint="eastAsia" w:ascii="宋体" w:hAnsi="宋体" w:eastAsia="宋体" w:cs="宋体"/>
          <w:b/>
          <w:bCs/>
          <w:color w:val="auto"/>
          <w:sz w:val="28"/>
          <w:szCs w:val="32"/>
          <w:highlight w:val="none"/>
        </w:rPr>
        <w:t xml:space="preserve">9.履约保证金</w:t>
      </w:r>
      <w:bookmarkEnd w:id="492"/>
      <w:r/>
      <w:bookmarkEnd w:id="493"/>
      <w:r/>
      <w:bookmarkEnd w:id="494"/>
      <w:r/>
      <w:bookmarkEnd w:id="495"/>
      <w:r/>
      <w:bookmarkEnd w:id="496"/>
      <w:r/>
      <w:bookmarkEnd w:id="497"/>
      <w:r/>
      <w:bookmarkEnd w:id="498"/>
      <w:r/>
      <w:bookmarkEnd w:id="499"/>
      <w:r/>
      <w:bookmarkEnd w:id="500"/>
      <w:r/>
      <w:bookmarkEnd w:id="501"/>
      <w:r/>
      <w:bookmarkEnd w:id="502"/>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9.1成交供应商与采购人签订政府采购合同前，须提交履约保证金，否则视为放弃中标，给采购人造成损失的，成交供应商还应当予以赔偿。</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履约保证金的形式：支票、汇票、本票或者金融机构、担保机构出具的保函等非现金形式。</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履约保证金的金额：合同价的</w:t>
      </w:r>
      <w:r>
        <w:rPr>
          <w:rFonts w:hint="eastAsia" w:ascii="宋体" w:hAnsi="宋体" w:eastAsia="宋体" w:cs="宋体"/>
          <w:color w:val="auto"/>
          <w:sz w:val="28"/>
          <w:szCs w:val="32"/>
          <w:highlight w:val="none"/>
          <w:u w:val="single"/>
        </w:rPr>
        <w:t xml:space="preserve"> </w:t>
      </w:r>
      <w:r>
        <w:rPr>
          <w:rFonts w:hint="eastAsia" w:ascii="宋体" w:hAnsi="宋体" w:cs="宋体"/>
          <w:color w:val="auto"/>
          <w:sz w:val="28"/>
          <w:szCs w:val="32"/>
          <w:highlight w:val="none"/>
          <w:u w:val="single"/>
          <w:lang w:val="en-US" w:eastAsia="zh-CN"/>
        </w:rPr>
        <w:t xml:space="preserve">3</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9.2如卖方未能履行合同规定的义务，买方有权从履约保证金中取得补偿。</w:t>
      </w:r>
      <w:r/>
    </w:p>
    <w:p>
      <w:pPr>
        <w:ind w:firstLine="562"/>
        <w:spacing w:line="500" w:lineRule="exact"/>
        <w:rPr>
          <w:rFonts w:hint="eastAsia" w:ascii="宋体" w:hAnsi="宋体" w:eastAsia="宋体" w:cs="宋体"/>
          <w:b/>
          <w:bCs/>
          <w:color w:val="auto"/>
          <w:sz w:val="28"/>
          <w:szCs w:val="32"/>
          <w:highlight w:val="none"/>
        </w:rPr>
      </w:pPr>
      <w:r/>
      <w:bookmarkStart w:id="503" w:name="_Toc399853488"/>
      <w:r/>
      <w:bookmarkStart w:id="504" w:name="_Toc399658021"/>
      <w:r/>
      <w:bookmarkStart w:id="505" w:name="_Toc399228179"/>
      <w:r/>
      <w:bookmarkStart w:id="506" w:name="_Toc20823332"/>
      <w:r/>
      <w:bookmarkStart w:id="507" w:name="_Toc16938576"/>
      <w:r/>
      <w:bookmarkStart w:id="508" w:name="_Toc513029260"/>
      <w:r/>
      <w:bookmarkStart w:id="509" w:name="_Toc425871376"/>
      <w:r/>
      <w:bookmarkStart w:id="510" w:name="_Toc282446313"/>
      <w:r/>
      <w:bookmarkStart w:id="511" w:name="_Toc288030349"/>
      <w:r/>
      <w:bookmarkStart w:id="512" w:name="_Toc399227846"/>
      <w:r/>
      <w:bookmarkStart w:id="513" w:name="_Toc120614239"/>
      <w:r/>
      <w:bookmarkStart w:id="514" w:name="_Toc462564119"/>
      <w:r>
        <w:rPr>
          <w:rFonts w:hint="eastAsia" w:ascii="宋体" w:hAnsi="宋体" w:eastAsia="宋体" w:cs="宋体"/>
          <w:b/>
          <w:bCs/>
          <w:color w:val="auto"/>
          <w:sz w:val="28"/>
          <w:szCs w:val="32"/>
          <w:highlight w:val="none"/>
        </w:rPr>
        <w:t xml:space="preserve">10.仲裁</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10.1在执行本合同中所发生的或与本合同有关的一切争议，买方和卖方应通过友好协商的办法进行解决。如从协商开始</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天内仍不能解决，应将争议提交有关省、市政府或行业主管部门寻求可能解决的办法。如果提交有关省、市政府或行业主管部门后</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天内仍得不到解决，则应申请仲裁。</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10.2仲裁应根据《中华人民共和国仲裁法》的规定向泰</w:t>
      </w:r>
      <w:r>
        <w:rPr>
          <w:rFonts w:hint="eastAsia" w:ascii="宋体" w:hAnsi="宋体" w:cs="宋体"/>
          <w:color w:val="auto"/>
          <w:sz w:val="28"/>
          <w:szCs w:val="32"/>
          <w:highlight w:val="none"/>
          <w:lang w:eastAsia="zh-CN"/>
        </w:rPr>
        <w:t xml:space="preserve">兴</w:t>
      </w:r>
      <w:r>
        <w:rPr>
          <w:rFonts w:hint="eastAsia" w:ascii="宋体" w:hAnsi="宋体" w:eastAsia="宋体" w:cs="宋体"/>
          <w:color w:val="auto"/>
          <w:sz w:val="28"/>
          <w:szCs w:val="32"/>
          <w:highlight w:val="none"/>
        </w:rPr>
        <w:t xml:space="preserve">仲裁委员会申请仲裁。</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10.3仲裁裁决为最终裁决，对买方和卖方均有约束力。</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10.4在仲裁期间，本合同应继续执行。</w:t>
      </w:r>
      <w:r/>
    </w:p>
    <w:p>
      <w:pPr>
        <w:ind w:firstLine="562"/>
        <w:spacing w:line="500" w:lineRule="exact"/>
        <w:rPr>
          <w:rFonts w:hint="eastAsia" w:ascii="宋体" w:hAnsi="宋体" w:eastAsia="宋体" w:cs="宋体"/>
          <w:b/>
          <w:bCs/>
          <w:color w:val="auto"/>
          <w:sz w:val="28"/>
          <w:szCs w:val="32"/>
          <w:highlight w:val="none"/>
        </w:rPr>
      </w:pPr>
      <w:r/>
      <w:bookmarkStart w:id="515" w:name="_Toc120614240"/>
      <w:r/>
      <w:bookmarkStart w:id="516" w:name="_Toc425871377"/>
      <w:r/>
      <w:bookmarkStart w:id="517" w:name="_Toc513029261"/>
      <w:r/>
      <w:bookmarkStart w:id="518" w:name="_Toc16938577"/>
      <w:r/>
      <w:bookmarkStart w:id="519" w:name="_Toc399658022"/>
      <w:r/>
      <w:bookmarkStart w:id="520" w:name="_Toc462564120"/>
      <w:r/>
      <w:bookmarkStart w:id="521" w:name="_Toc20823333"/>
      <w:r/>
      <w:bookmarkStart w:id="522" w:name="_Toc288030350"/>
      <w:r/>
      <w:bookmarkStart w:id="523" w:name="_Toc399228180"/>
      <w:r/>
      <w:bookmarkStart w:id="524" w:name="_Toc399227847"/>
      <w:r/>
      <w:bookmarkStart w:id="525" w:name="_Toc282446314"/>
      <w:r/>
      <w:bookmarkStart w:id="526" w:name="_Toc399853489"/>
      <w:r>
        <w:rPr>
          <w:rFonts w:hint="eastAsia" w:ascii="宋体" w:hAnsi="宋体" w:eastAsia="宋体" w:cs="宋体"/>
          <w:b/>
          <w:bCs/>
          <w:color w:val="auto"/>
          <w:sz w:val="28"/>
          <w:szCs w:val="32"/>
          <w:highlight w:val="none"/>
        </w:rPr>
        <w:t xml:space="preserve">11.违约终止合同</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11.1在买方对卖方违约而采取的任何补救措施不受影响的情况下，买方可向卖方发出终止部分或全部合同的书面通知书。</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11.1.1如果卖方未能按合同规定的期限或买方同意延长的限期内提供部分或全部服务；</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11.1.2卖方在收到买方发出的违约通知后</w:t>
      </w:r>
      <w:r>
        <w:rPr>
          <w:rFonts w:hint="eastAsia" w:ascii="宋体" w:hAnsi="宋体" w:eastAsia="宋体" w:cs="宋体"/>
          <w:color w:val="auto"/>
          <w:sz w:val="28"/>
          <w:szCs w:val="32"/>
          <w:highlight w:val="none"/>
          <w:u w:val="single"/>
        </w:rPr>
        <w:t xml:space="preserve">  60  </w:t>
      </w:r>
      <w:r>
        <w:rPr>
          <w:rFonts w:hint="eastAsia" w:ascii="宋体" w:hAnsi="宋体" w:eastAsia="宋体" w:cs="宋体"/>
          <w:color w:val="auto"/>
          <w:sz w:val="28"/>
          <w:szCs w:val="32"/>
          <w:highlight w:val="none"/>
        </w:rPr>
        <w:t xml:space="preserve">天内，或经买方书面认可延长的时间内未能纠正其过失；</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11.1.3如果卖方未能履行合同规定的其他义务。</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2"/>
        <w:spacing w:line="500" w:lineRule="exact"/>
        <w:rPr>
          <w:rFonts w:hint="eastAsia" w:ascii="宋体" w:hAnsi="宋体" w:eastAsia="宋体" w:cs="宋体"/>
          <w:b/>
          <w:bCs/>
          <w:color w:val="auto"/>
          <w:sz w:val="28"/>
          <w:szCs w:val="32"/>
          <w:highlight w:val="none"/>
        </w:rPr>
      </w:pPr>
      <w:r/>
      <w:bookmarkStart w:id="527" w:name="_Toc399853490"/>
      <w:r/>
      <w:bookmarkStart w:id="528" w:name="_Toc282446315"/>
      <w:r/>
      <w:bookmarkStart w:id="529" w:name="_Toc513029262"/>
      <w:r/>
      <w:bookmarkStart w:id="530" w:name="_Toc399228181"/>
      <w:r/>
      <w:bookmarkStart w:id="531" w:name="_Toc399658023"/>
      <w:r/>
      <w:bookmarkStart w:id="532" w:name="_Toc20823334"/>
      <w:r/>
      <w:bookmarkStart w:id="533" w:name="_Toc16938578"/>
      <w:r/>
      <w:bookmarkStart w:id="534" w:name="_Toc120614241"/>
      <w:r/>
      <w:bookmarkStart w:id="535" w:name="_Toc399227848"/>
      <w:r/>
      <w:bookmarkStart w:id="536" w:name="_Toc462564121"/>
      <w:r/>
      <w:bookmarkStart w:id="537" w:name="_Toc288030351"/>
      <w:r/>
      <w:bookmarkStart w:id="538" w:name="_Toc425871378"/>
      <w:r>
        <w:rPr>
          <w:rFonts w:hint="eastAsia" w:ascii="宋体" w:hAnsi="宋体" w:eastAsia="宋体" w:cs="宋体"/>
          <w:b/>
          <w:bCs/>
          <w:color w:val="auto"/>
          <w:sz w:val="28"/>
          <w:szCs w:val="32"/>
          <w:highlight w:val="none"/>
        </w:rPr>
        <w:t xml:space="preserve">12.破产中止合同</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12.1如果卖方破产或无清偿能力时，买方在任何时候书面通知卖方中止合同而不给卖方补偿。该中止合同将不损害或影响买方已经或将要采取的补救措施的权利。</w:t>
      </w:r>
      <w:r/>
    </w:p>
    <w:p>
      <w:pPr>
        <w:ind w:firstLine="562"/>
        <w:spacing w:line="500" w:lineRule="exact"/>
        <w:rPr>
          <w:rFonts w:hint="eastAsia" w:ascii="宋体" w:hAnsi="宋体" w:eastAsia="宋体" w:cs="宋体"/>
          <w:b/>
          <w:bCs/>
          <w:color w:val="auto"/>
          <w:sz w:val="28"/>
          <w:szCs w:val="32"/>
          <w:highlight w:val="none"/>
        </w:rPr>
      </w:pPr>
      <w:r/>
      <w:bookmarkStart w:id="539" w:name="_Toc20823335"/>
      <w:r/>
      <w:bookmarkStart w:id="540" w:name="_Toc462564122"/>
      <w:r/>
      <w:bookmarkStart w:id="541" w:name="_Toc399853491"/>
      <w:r/>
      <w:bookmarkStart w:id="542" w:name="_Toc399658024"/>
      <w:r/>
      <w:bookmarkStart w:id="543" w:name="_Toc282446316"/>
      <w:r/>
      <w:bookmarkStart w:id="544" w:name="_Toc425871379"/>
      <w:r/>
      <w:bookmarkStart w:id="545" w:name="_Toc399228182"/>
      <w:r/>
      <w:bookmarkStart w:id="546" w:name="_Toc399227849"/>
      <w:r/>
      <w:bookmarkStart w:id="547" w:name="_Toc120614242"/>
      <w:r/>
      <w:bookmarkStart w:id="548" w:name="_Toc288030352"/>
      <w:r/>
      <w:bookmarkStart w:id="549" w:name="_Toc16938579"/>
      <w:r/>
      <w:bookmarkStart w:id="550" w:name="_Toc513029263"/>
      <w:r>
        <w:rPr>
          <w:rFonts w:hint="eastAsia" w:ascii="宋体" w:hAnsi="宋体" w:eastAsia="宋体" w:cs="宋体"/>
          <w:b/>
          <w:bCs/>
          <w:color w:val="auto"/>
          <w:sz w:val="28"/>
          <w:szCs w:val="32"/>
          <w:highlight w:val="none"/>
        </w:rPr>
        <w:t xml:space="preserve">13.转让</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13.1除买方事先书面同意外，卖方不得部分转让或全部转让其应履行的合同义务。</w:t>
      </w:r>
      <w:r/>
    </w:p>
    <w:p>
      <w:pPr>
        <w:ind w:firstLine="562"/>
        <w:spacing w:line="500" w:lineRule="exact"/>
        <w:rPr>
          <w:rFonts w:hint="eastAsia" w:ascii="宋体" w:hAnsi="宋体" w:eastAsia="宋体" w:cs="宋体"/>
          <w:b/>
          <w:bCs/>
          <w:color w:val="auto"/>
          <w:sz w:val="28"/>
          <w:szCs w:val="32"/>
          <w:highlight w:val="none"/>
        </w:rPr>
      </w:pPr>
      <w:r/>
      <w:bookmarkStart w:id="551" w:name="_Toc462564123"/>
      <w:r/>
      <w:bookmarkStart w:id="552" w:name="_Toc282446317"/>
      <w:r/>
      <w:bookmarkStart w:id="553" w:name="_Toc513029264"/>
      <w:r/>
      <w:bookmarkStart w:id="554" w:name="_Toc120614243"/>
      <w:r/>
      <w:bookmarkStart w:id="555" w:name="_Toc399228183"/>
      <w:r/>
      <w:bookmarkStart w:id="556" w:name="_Toc425871380"/>
      <w:r/>
      <w:bookmarkStart w:id="557" w:name="_Toc20823336"/>
      <w:r/>
      <w:bookmarkStart w:id="558" w:name="_Toc399853492"/>
      <w:r/>
      <w:bookmarkStart w:id="559" w:name="_Toc399658025"/>
      <w:r/>
      <w:bookmarkStart w:id="560" w:name="_Toc16938580"/>
      <w:r/>
      <w:bookmarkStart w:id="561" w:name="_Toc288030353"/>
      <w:r/>
      <w:bookmarkStart w:id="562" w:name="_Toc399227850"/>
      <w:r>
        <w:rPr>
          <w:rFonts w:hint="eastAsia" w:ascii="宋体" w:hAnsi="宋体" w:eastAsia="宋体" w:cs="宋体"/>
          <w:b/>
          <w:bCs/>
          <w:color w:val="auto"/>
          <w:sz w:val="28"/>
          <w:szCs w:val="32"/>
          <w:highlight w:val="none"/>
        </w:rPr>
        <w:t xml:space="preserve">14.合同生效及其它</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14.1合同应在买方、卖方、见证方签字，并在卖方向见证方交纳履约保证金后生效。</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14.2本合同一式</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份，以中文书写，买方</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份，卖方、见证方、各执</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份。</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14.3如需修改或补充合同内容，应经买方、卖方、见证方协商一致，签署书面修改或补充协议。该协议将作为本合同不可分割的一部分。</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14.4本合同应按照中华人民共和国的现行法律进行解释。</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r>
      <w:r/>
    </w:p>
    <w:p>
      <w:pPr>
        <w:ind w:firstLine="560"/>
        <w:spacing w:line="560" w:lineRule="exact"/>
        <w:rPr>
          <w:rFonts w:hint="eastAsia" w:ascii="宋体" w:hAnsi="宋体" w:eastAsia="宋体" w:cs="宋体"/>
          <w:bCs/>
          <w:color w:val="auto"/>
          <w:sz w:val="28"/>
          <w:szCs w:val="32"/>
          <w:highlight w:val="none"/>
        </w:rPr>
      </w:pPr>
      <w:r>
        <w:rPr>
          <w:rFonts w:hint="eastAsia" w:ascii="宋体" w:hAnsi="宋体" w:eastAsia="宋体" w:cs="宋体"/>
          <w:bCs/>
          <w:color w:val="auto"/>
          <w:sz w:val="28"/>
          <w:szCs w:val="32"/>
          <w:highlight w:val="none"/>
        </w:rPr>
        <w:t xml:space="preserve">二、专用合同条款部分</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甲方:</w:t>
      </w:r>
      <w:r>
        <w:rPr>
          <w:rFonts w:hint="eastAsia" w:ascii="宋体" w:hAnsi="宋体" w:eastAsia="宋体" w:cs="宋体"/>
          <w:color w:val="auto"/>
          <w:sz w:val="28"/>
          <w:szCs w:val="32"/>
          <w:highlight w:val="none"/>
          <w:u w:val="single"/>
        </w:rPr>
        <w:t xml:space="preserve">                           </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乙方:</w:t>
      </w:r>
      <w:r>
        <w:rPr>
          <w:rFonts w:hint="eastAsia" w:ascii="宋体" w:hAnsi="宋体" w:eastAsia="宋体" w:cs="宋体"/>
          <w:color w:val="auto"/>
          <w:sz w:val="28"/>
          <w:szCs w:val="32"/>
          <w:highlight w:val="none"/>
          <w:u w:val="single"/>
        </w:rPr>
        <w:t xml:space="preserve">                           </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甲乙双方根据政府采购编号</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的</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32"/>
          <w:highlight w:val="none"/>
        </w:rPr>
        <w:t xml:space="preserve">项目采购结果及招标文件的要求,经协商一致,达成如下采购服务合同:</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根据《中华人民共和国政府采购法》《中华人民共和国民法典》和相关行业法律法规等法律法规的规定，甲乙双方按照**的招标结果签订本合同。</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1.项目概况</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1.1项目名称：</w:t>
      </w:r>
      <w:r>
        <w:rPr>
          <w:rFonts w:hint="eastAsia" w:ascii="宋体" w:hAnsi="宋体" w:eastAsia="宋体" w:cs="宋体"/>
          <w:color w:val="auto"/>
          <w:sz w:val="28"/>
          <w:szCs w:val="32"/>
          <w:highlight w:val="none"/>
          <w:u w:val="single"/>
        </w:rPr>
        <w:t xml:space="preserve">                       </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1.2项目地点：</w:t>
      </w:r>
      <w:r>
        <w:rPr>
          <w:rFonts w:hint="eastAsia" w:ascii="宋体" w:hAnsi="宋体" w:eastAsia="宋体" w:cs="宋体"/>
          <w:color w:val="auto"/>
          <w:sz w:val="28"/>
          <w:szCs w:val="32"/>
          <w:highlight w:val="none"/>
          <w:u w:val="single"/>
        </w:rPr>
        <w:t xml:space="preserve">                       </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1.3项目内容：</w:t>
      </w:r>
      <w:r>
        <w:rPr>
          <w:rFonts w:hint="eastAsia" w:ascii="宋体" w:hAnsi="宋体" w:eastAsia="宋体" w:cs="宋体"/>
          <w:color w:val="auto"/>
          <w:sz w:val="28"/>
          <w:szCs w:val="32"/>
          <w:highlight w:val="none"/>
          <w:u w:val="single"/>
        </w:rPr>
        <w:t xml:space="preserve">                       </w:t>
      </w:r>
      <w:r/>
    </w:p>
    <w:p>
      <w:pPr>
        <w:ind w:firstLine="560"/>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1.4合同价款：</w:t>
      </w:r>
      <w:r>
        <w:rPr>
          <w:rFonts w:hint="eastAsia" w:ascii="宋体" w:hAnsi="宋体" w:eastAsia="宋体" w:cs="宋体"/>
          <w:color w:val="auto"/>
          <w:sz w:val="28"/>
          <w:szCs w:val="32"/>
          <w:highlight w:val="none"/>
          <w:u w:val="single"/>
        </w:rPr>
        <w:t xml:space="preserve">                       </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2.定义</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2.2“合同价格”系指根据合同规定，在乙方全面正确地履行合同义务后甲方应支付给乙方的价格。</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2.3“甲方”系指采购人。</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2.4“乙方”系指成交供应商。</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3.适用范围</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本合同条款适用于本次招标项目。</w:t>
      </w:r>
      <w:r/>
    </w:p>
    <w:p>
      <w:pPr>
        <w:ind w:firstLine="562"/>
        <w:spacing w:line="56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32"/>
          <w:highlight w:val="none"/>
        </w:rPr>
        <w:t xml:space="preserve">4.服务工作执行技术标准、验收标准及工期：</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4.1技术标准与招标文件一致。</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4.2验收时间及标准：</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4.3项目履行期限：</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5.项目经费来源、价款以及支付方式</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5.1经费来源： </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5.2项目价款： </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5.2.1***</w:t>
      </w:r>
      <w:r/>
    </w:p>
    <w:p>
      <w:pPr>
        <w:ind w:firstLine="560"/>
        <w:jc w:val="left"/>
        <w:spacing w:line="500" w:lineRule="exac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 xml:space="preserve">5.2.2***</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32"/>
          <w:highlight w:val="none"/>
        </w:rPr>
        <w:t xml:space="preserve">5.3支付方式、时间、条件： </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6.甲方的义务</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6.1负责本项目的组织协商，配合</w:t>
      </w:r>
      <w:r>
        <w:rPr>
          <w:rFonts w:hint="eastAsia" w:ascii="宋体" w:hAnsi="宋体" w:cs="宋体"/>
          <w:b/>
          <w:bCs/>
          <w:color w:val="auto"/>
          <w:sz w:val="28"/>
          <w:szCs w:val="28"/>
          <w:highlight w:val="none"/>
          <w:lang w:eastAsia="zh-CN"/>
        </w:rPr>
        <w:t xml:space="preserve">督促</w:t>
      </w:r>
      <w:r>
        <w:rPr>
          <w:rFonts w:hint="eastAsia" w:ascii="宋体" w:hAnsi="宋体" w:eastAsia="宋体" w:cs="宋体"/>
          <w:color w:val="auto"/>
          <w:sz w:val="28"/>
          <w:szCs w:val="28"/>
          <w:highlight w:val="none"/>
        </w:rPr>
        <w:t xml:space="preserve">乙方做好相关工作。</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6.2足额向乙方支付经费。</w:t>
      </w:r>
      <w:r/>
    </w:p>
    <w:p>
      <w:pPr>
        <w:ind w:firstLine="562"/>
        <w:jc w:val="left"/>
        <w:spacing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6.3</w:t>
      </w:r>
      <w:r>
        <w:rPr>
          <w:rStyle w:val="662"/>
          <w:rFonts w:ascii="宋体" w:hAnsi="宋体" w:eastAsia="宋体" w:cs="宋体"/>
          <w:color w:val="auto"/>
          <w:sz w:val="24"/>
          <w:szCs w:val="24"/>
        </w:rPr>
        <w:t xml:space="preserve">资料报备与核验要求</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乙方正式上岗前须向甲方完整提交：人员花名册、身份证、对应岗位资格证书、有效期证明、在岗承诺等全套佐证材料，</w:t>
      </w:r>
      <w:r>
        <w:rPr>
          <w:rStyle w:val="662"/>
          <w:rFonts w:ascii="宋体" w:hAnsi="宋体" w:eastAsia="宋体" w:cs="宋体"/>
          <w:color w:val="auto"/>
          <w:sz w:val="24"/>
          <w:szCs w:val="24"/>
        </w:rPr>
        <w:t xml:space="preserve">经甲方审核通过后方可上岗履职</w:t>
      </w:r>
      <w:r>
        <w:rPr>
          <w:rFonts w:ascii="宋体" w:hAnsi="宋体" w:eastAsia="宋体" w:cs="宋体"/>
          <w:color w:val="auto"/>
          <w:sz w:val="24"/>
          <w:szCs w:val="24"/>
        </w:rPr>
        <w:t xml:space="preserve">。甲方有权随时对在岗人员证书有效性、人证一致性进行抽查核验。</w:t>
      </w:r>
      <w:r/>
    </w:p>
    <w:p>
      <w:pPr>
        <w:ind w:firstLine="562"/>
        <w:jc w:val="left"/>
        <w:spacing w:line="500" w:lineRule="exact"/>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6.4</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7.乙方义务</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严格按照甲方的委托要求独立开展工作，并保证及时高质量完成甲方委托任务，具体事项有：</w:t>
      </w:r>
      <w:r/>
    </w:p>
    <w:p>
      <w:pPr>
        <w:ind w:firstLine="560"/>
        <w:jc w:val="left"/>
        <w:spacing w:line="500" w:lineRule="exact"/>
        <w:rPr>
          <w:rFonts w:ascii="宋体" w:hAnsi="宋体" w:eastAsia="宋体" w:cs="宋体"/>
          <w:color w:val="auto"/>
          <w:sz w:val="24"/>
          <w:szCs w:val="24"/>
        </w:rPr>
      </w:pPr>
      <w:r>
        <w:rPr>
          <w:rFonts w:hint="eastAsia" w:ascii="宋体" w:hAnsi="宋体" w:eastAsia="宋体" w:cs="宋体"/>
          <w:color w:val="auto"/>
          <w:sz w:val="28"/>
          <w:szCs w:val="28"/>
          <w:highlight w:val="none"/>
        </w:rPr>
        <w:t xml:space="preserve">7.1</w:t>
      </w:r>
      <w:r>
        <w:rPr>
          <w:rStyle w:val="662"/>
          <w:rFonts w:ascii="宋体" w:hAnsi="宋体" w:eastAsia="宋体" w:cs="宋体"/>
          <w:color w:val="auto"/>
          <w:sz w:val="24"/>
          <w:szCs w:val="24"/>
        </w:rPr>
        <w:t xml:space="preserve">人员持证上岗硬性要求</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乙方须在</w:t>
      </w:r>
      <w:r>
        <w:rPr>
          <w:rStyle w:val="662"/>
          <w:rFonts w:ascii="宋体" w:hAnsi="宋体" w:eastAsia="宋体" w:cs="宋体"/>
          <w:color w:val="auto"/>
          <w:sz w:val="24"/>
          <w:szCs w:val="24"/>
        </w:rPr>
        <w:t xml:space="preserve">本合同签订生效前</w:t>
      </w:r>
      <w:r>
        <w:rPr>
          <w:rFonts w:ascii="宋体" w:hAnsi="宋体" w:eastAsia="宋体" w:cs="宋体"/>
          <w:color w:val="auto"/>
          <w:sz w:val="24"/>
          <w:szCs w:val="24"/>
        </w:rPr>
        <w:t xml:space="preserve">，完成本项目全部服务人员足额配备、全员到岗，</w:t>
      </w:r>
      <w:r>
        <w:rPr>
          <w:rStyle w:val="662"/>
          <w:rFonts w:ascii="宋体" w:hAnsi="宋体" w:eastAsia="宋体" w:cs="宋体"/>
          <w:color w:val="auto"/>
          <w:sz w:val="24"/>
          <w:szCs w:val="24"/>
        </w:rPr>
        <w:t xml:space="preserve">所有岗位人员必须 100% 持合法有效对应岗位资格证书上岗</w:t>
      </w:r>
      <w:r>
        <w:rPr>
          <w:rFonts w:ascii="宋体" w:hAnsi="宋体" w:eastAsia="宋体" w:cs="宋体"/>
          <w:color w:val="auto"/>
          <w:sz w:val="24"/>
          <w:szCs w:val="24"/>
        </w:rPr>
        <w:t xml:space="preserve">，证书等级、执业范围须完全匹配岗位法定及招标文件要求。</w:t>
      </w:r>
      <w:r/>
    </w:p>
    <w:p>
      <w:pPr>
        <w:ind w:firstLine="480"/>
        <w:jc w:val="left"/>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w:t>
      </w:r>
      <w:r>
        <w:rPr>
          <w:rStyle w:val="662"/>
          <w:rFonts w:ascii="宋体" w:hAnsi="宋体" w:eastAsia="宋体" w:cs="宋体"/>
          <w:color w:val="auto"/>
          <w:sz w:val="24"/>
          <w:szCs w:val="24"/>
        </w:rPr>
        <w:t xml:space="preserve">资料报备与核验要求</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乙方正式上岗前须向甲方完整提交：人员花名册、身份证、对应岗位资格证书、有效期证明、在岗承诺等全套佐证材料，</w:t>
      </w:r>
      <w:r>
        <w:rPr>
          <w:rStyle w:val="662"/>
          <w:rFonts w:ascii="宋体" w:hAnsi="宋体" w:eastAsia="宋体" w:cs="宋体"/>
          <w:color w:val="auto"/>
          <w:sz w:val="24"/>
          <w:szCs w:val="24"/>
        </w:rPr>
        <w:t xml:space="preserve">经甲方审核通过后方可上岗履职</w:t>
      </w:r>
      <w:r>
        <w:rPr>
          <w:rFonts w:ascii="宋体" w:hAnsi="宋体" w:eastAsia="宋体" w:cs="宋体"/>
          <w:color w:val="auto"/>
          <w:sz w:val="24"/>
          <w:szCs w:val="24"/>
        </w:rPr>
        <w:t xml:space="preserve">。甲方有权随时对在岗人员证书有效性、人证一致性进行抽查核验。</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u w:val="single"/>
        </w:rPr>
        <w:t xml:space="preserve">（如有，另行协商）</w:t>
      </w:r>
      <w:r>
        <w:rPr>
          <w:rFonts w:hint="eastAsia" w:ascii="宋体" w:hAnsi="宋体" w:eastAsia="宋体" w:cs="宋体"/>
          <w:color w:val="auto"/>
          <w:sz w:val="28"/>
          <w:szCs w:val="28"/>
          <w:highlight w:val="none"/>
        </w:rPr>
        <w:t xml:space="preserve">。</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8.其他</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9.履约保证金</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9.1成交供应商与采购人签订政府采购合同前，须提交履约保证金，否则视为放弃中标，给采购人造成损失的，成交供应商还应当予以赔偿。</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履约保证金的形式：支票、汇票、本票或者金融机构、担保机构出具的保函等非现金形式。</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履约保证金的金额：合同价的</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643"/>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履约保证金退还方式、时间、条件：</w:t>
      </w:r>
      <w:r/>
    </w:p>
    <w:p>
      <w:pPr>
        <w:ind w:firstLine="560"/>
        <w:jc w:val="left"/>
        <w:spacing w:line="500" w:lineRule="exact"/>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9.2如</w:t>
      </w:r>
      <w:r>
        <w:rPr>
          <w:rFonts w:hint="eastAsia" w:ascii="宋体" w:hAnsi="宋体" w:cs="宋体"/>
          <w:color w:val="auto"/>
          <w:sz w:val="28"/>
          <w:szCs w:val="21"/>
          <w:highlight w:val="none"/>
          <w:lang w:eastAsia="zh-CN"/>
        </w:rPr>
        <w:t xml:space="preserve">乙</w:t>
      </w:r>
      <w:r>
        <w:rPr>
          <w:rFonts w:hint="eastAsia" w:ascii="宋体" w:hAnsi="宋体" w:eastAsia="宋体" w:cs="宋体"/>
          <w:color w:val="auto"/>
          <w:sz w:val="28"/>
          <w:szCs w:val="21"/>
          <w:highlight w:val="none"/>
        </w:rPr>
        <w:t xml:space="preserve">方未能履行合同规定的义务，买方有权从履约保证金中取得补偿。</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9.3乙方由于过错而导致支付违约金和赔偿损失时可由履约保证金抵顶支付；当违约金和赔偿金额超过履约保证金时，甲方可追偿超过履约保证金的部分。</w:t>
      </w:r>
      <w:r/>
    </w:p>
    <w:p>
      <w:pPr>
        <w:ind w:firstLine="560"/>
        <w:jc w:val="left"/>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cs="宋体"/>
          <w:color w:val="auto"/>
          <w:sz w:val="28"/>
          <w:szCs w:val="28"/>
          <w:highlight w:val="none"/>
          <w:lang w:val="en-US" w:eastAsia="zh-CN"/>
        </w:rPr>
        <w:t xml:space="preserve">4</w:t>
      </w:r>
      <w:r>
        <w:rPr>
          <w:rFonts w:ascii="宋体" w:hAnsi="宋体" w:eastAsia="宋体" w:cs="宋体"/>
          <w:color w:val="auto"/>
          <w:sz w:val="24"/>
          <w:szCs w:val="24"/>
        </w:rPr>
        <w:t xml:space="preserve">若甲方核查发现存在</w:t>
      </w:r>
      <w:r>
        <w:rPr>
          <w:rStyle w:val="662"/>
          <w:rFonts w:ascii="宋体" w:hAnsi="宋体" w:eastAsia="宋体" w:cs="宋体"/>
          <w:color w:val="auto"/>
          <w:sz w:val="24"/>
          <w:szCs w:val="24"/>
        </w:rPr>
        <w:t xml:space="preserve">无证上岗、证书失效、证岗不匹配、人员未足额到位</w:t>
      </w:r>
      <w:r>
        <w:rPr>
          <w:rFonts w:ascii="宋体" w:hAnsi="宋体" w:eastAsia="宋体" w:cs="宋体"/>
          <w:color w:val="auto"/>
          <w:sz w:val="24"/>
          <w:szCs w:val="24"/>
        </w:rPr>
        <w:t xml:space="preserve">等违规情形，视为乙方服务不达标。甲方有权要求乙方</w:t>
      </w:r>
      <w:r>
        <w:rPr>
          <w:rStyle w:val="662"/>
          <w:rFonts w:ascii="宋体" w:hAnsi="宋体" w:eastAsia="宋体" w:cs="宋体"/>
          <w:color w:val="auto"/>
          <w:sz w:val="24"/>
          <w:szCs w:val="24"/>
        </w:rPr>
        <w:t xml:space="preserve">24 小时内完成整改、换人、补齐持证人员</w:t>
      </w:r>
      <w:r>
        <w:rPr>
          <w:rFonts w:ascii="宋体" w:hAnsi="宋体" w:eastAsia="宋体" w:cs="宋体"/>
          <w:color w:val="auto"/>
          <w:sz w:val="24"/>
          <w:szCs w:val="24"/>
        </w:rPr>
        <w:t xml:space="preserve">；逾期未整改、整改不到位或屡次违规的，甲方有权扣减相应服务费、计入履约不良记录，情节严重的可依据合同约定追究乙方违约责任，直至单方解除合同。</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10.不可抗力</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10.2受阻一方应在不可抗力事故发生后尽快用电报、传真或电传通知对方，并于事故发生后</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28"/>
          <w:highlight w:val="none"/>
        </w:rPr>
        <w:t xml:space="preserve">天内将有关当局出具的证明文件用特快专递寄给对方审阅确认。一旦不可抗力事故的影响持续</w:t>
      </w:r>
      <w:r>
        <w:rPr>
          <w:rFonts w:hint="eastAsia" w:ascii="宋体" w:hAnsi="宋体" w:eastAsia="宋体" w:cs="宋体"/>
          <w:color w:val="auto"/>
          <w:sz w:val="28"/>
          <w:szCs w:val="32"/>
          <w:highlight w:val="none"/>
          <w:u w:val="single"/>
        </w:rPr>
        <w:t xml:space="preserve">    </w:t>
      </w:r>
      <w:r>
        <w:rPr>
          <w:rFonts w:hint="eastAsia" w:ascii="宋体" w:hAnsi="宋体" w:eastAsia="宋体" w:cs="宋体"/>
          <w:color w:val="auto"/>
          <w:sz w:val="28"/>
          <w:szCs w:val="28"/>
          <w:highlight w:val="none"/>
        </w:rPr>
        <w:t xml:space="preserve">天以上，双方（或三方）应通过友好协商在合理的时间内达成是否继续履行合同的协议。</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11.税费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与履行本合同有关的一切税费，由乙方承担。</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12.争议</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12.1在执行本合同中发生的或与本合同有关的争议，双方应通过友好协商解决。经协商不能达成协议时，可向泰兴市仲裁委员会按其仲裁规则申请仲裁。若仲裁不成功，向合同签约地的人民法院提请诉讼。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12.2在仲裁和诉讼期间，双方应继续履行争议部分以外的合同内容。</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13.违约终止合同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13.1违约责任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有下列情况之一的，甲方有权终止协议：</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13.1.1乙方未能按上级要求造成结果失真或未能按进保质完成甲方委托任务的。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13.1.2乙方违反从业道德，影响甲方声誉或投诉查实的。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13.2因解除而终止</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13.2.3合同一方依本合同约定行使解除权的，合同自解除通知送达另一方之日起终止。违约方应当按本合同约定支付违约金或赔偿损失。</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13.2.4合同终止后，不妨碍守约方向违约方追究违约责任。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13.3甲方未能按规定时限支付</w:t>
      </w:r>
      <w:r>
        <w:rPr>
          <w:rFonts w:hint="eastAsia" w:ascii="宋体" w:hAnsi="宋体" w:cs="宋体"/>
          <w:b/>
          <w:bCs/>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经费的，每延迟一天，按应付金额的0.1%对乙方进行违约赔偿。</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14.变更指示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14.1甲方有权根据实际需要，在《政府采购法》允许的范围内提出变更要求。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15.合同修改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对合同条款作出任何改动或偏离，均须甲乙双方签署书面的合同修改书。</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16.适用法律</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本合同应按中华人民共和国的法律解释。</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17.语言与计量单位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17.1合同书写应用中文。甲乙双方所有的来往函电以及与合同有关的文件均应以中文书写。</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17.2除技术规格中另有规定外，所有计量均采用中华人民共和国法定计量单位。</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18.通知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本合同任何一方给另一方的通知都应以书面形式发送，而另一方应以书面形式确认并发送到对方明确的地址。</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19.合同文件及资料的保密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19.1在未经甲方同意的情况下，乙方不得将合同、合同中的规定、有关研究、设计图纸、式样、样本或甲方为乙方提供的资料透露给任何人。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19.2除合同本身以外，乙方从甲方处获得的所有资料其知识产权归甲方所有，乙方应于其合同义务履行完毕以后将这些资料（包括所有副本）退还甲方。</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20.合同生效及其他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20.1除合同中另有说明，本合同经双方法定代表人或其委托代理人签字并加盖公章或合同专用章后，即开始生效。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20.2合同一式肆份，具有同等法律效力。</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21.合同文件及解释顺序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下列文件均为合同组成文件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21.1招标文件（包括澄清、答疑、修改和补充通知）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21.2投标文件（包括修改、澄清）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21.3中标通知书（包括供应商“回执”）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21.4双方商定的补充协议或合同期内双方签署的备忘录</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21.5双方签署的合同谈判备忘录</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21.6与本合同有关的其他文件</w:t>
      </w:r>
      <w:r/>
    </w:p>
    <w:p>
      <w:pPr>
        <w:ind w:firstLine="562"/>
        <w:spacing w:line="560" w:lineRule="exact"/>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 xml:space="preserve">22.合同的变更和终止</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22.1除《政府采购法》第50条第二款规定的情形外，本合同一经签订，甲乙双方不得擅自变更、中止或终止合同。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22.2除发生法律规定的不能预见、不能避免并不能克服的客观情况外，甲乙双方不得放弃或拒绝履行合同。乙方放弃或拒绝履行合同，在三年内不得参加政府采购活动。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甲方：（盖章）                乙方：（盖章）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法定代表人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（或授权代理人）：            （或授权代理人）：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                    单位地址：</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    编：                    邮    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                    电    话：</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    真：                    传    真：</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                    开户银行：</w:t>
      </w:r>
      <w:r/>
    </w:p>
    <w:p>
      <w:pPr>
        <w:ind w:firstLine="56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8"/>
          <w:szCs w:val="28"/>
          <w:highlight w:val="none"/>
        </w:rPr>
        <w:t xml:space="preserve">帐    号：                    帐    号：</w:t>
      </w:r>
      <w:r/>
    </w:p>
    <w:p>
      <w:pPr>
        <w:spacing w:line="360" w:lineRule="auto"/>
        <w:shd w:val="clear" w:color="auto" w:fill="ffffff"/>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bookmarkEnd w:id="296"/>
      <w:bookmarkEnd w:id="297"/>
      <w:bookmarkEnd w:id="298"/>
      <w:bookmarkEnd w:id="299"/>
      <w:bookmarkEnd w:id="300"/>
      <w:bookmarkEnd w:id="301"/>
      <w:bookmarkEnd w:id="302"/>
      <w:bookmarkEnd w:id="303"/>
      <w:bookmarkEnd w:id="304"/>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p>
    <w:p>
      <w:pPr>
        <w:numPr>
          <w:ilvl w:val="0"/>
          <w:numId w:val="4"/>
        </w:numPr>
        <w:jc w:val="center"/>
        <w:rPr>
          <w:rFonts w:hint="eastAsia" w:ascii="宋体" w:hAnsi="宋体" w:eastAsia="宋体" w:cs="宋体"/>
          <w:color w:val="auto"/>
          <w:sz w:val="32"/>
          <w:szCs w:val="32"/>
          <w:highlight w:val="none"/>
        </w:rPr>
        <w:outlineLvl w:val="0"/>
      </w:pPr>
      <w:r/>
      <w:bookmarkStart w:id="563" w:name="_Toc21814"/>
      <w:r>
        <w:rPr>
          <w:rFonts w:hint="eastAsia" w:ascii="宋体" w:hAnsi="宋体" w:eastAsia="宋体" w:cs="宋体"/>
          <w:color w:val="auto"/>
          <w:sz w:val="32"/>
          <w:szCs w:val="32"/>
          <w:highlight w:val="none"/>
        </w:rPr>
        <w:t xml:space="preserve">采购需求</w:t>
      </w:r>
      <w:bookmarkEnd w:id="563"/>
      <w:r/>
      <w:r/>
    </w:p>
    <w:p>
      <w:pPr>
        <w:pStyle w:val="659"/>
        <w:keepLines w:val="0"/>
        <w:keepNext w:val="0"/>
        <w:pageBreakBefore w:val="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一、服务标准及要求：</w:t>
      </w:r>
      <w:r/>
    </w:p>
    <w:p>
      <w:pPr>
        <w:numPr>
          <w:ilvl w:val="0"/>
          <w:numId w:val="5"/>
        </w:numPr>
        <w:ind w:left="0" w:firstLine="480"/>
        <w:keepLines w:val="0"/>
        <w:keepNext w:val="0"/>
        <w:pageBreakBefore w:val="0"/>
        <w:spacing w:line="500" w:lineRule="exact"/>
        <w:widowControl w:val="off"/>
        <w:tabs>
          <w:tab w:val="clear"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服务地点及内容</w:t>
      </w:r>
      <w:r>
        <w:rPr>
          <w:rFonts w:hint="eastAsia" w:ascii="宋体" w:hAnsi="宋体" w:eastAsia="宋体" w:cs="宋体"/>
          <w:color w:val="auto"/>
          <w:sz w:val="24"/>
          <w:szCs w:val="24"/>
          <w:highlight w:val="none"/>
        </w:rPr>
        <w:t xml:space="preserve">：泰兴市人民医院长征路及润泰</w:t>
      </w:r>
      <w:r>
        <w:rPr>
          <w:rFonts w:hint="eastAsia" w:ascii="宋体" w:hAnsi="宋体" w:eastAsia="宋体" w:cs="宋体"/>
          <w:color w:val="auto"/>
          <w:sz w:val="24"/>
          <w:szCs w:val="24"/>
          <w:highlight w:val="none"/>
          <w:lang w:eastAsia="zh-CN"/>
        </w:rPr>
        <w:t xml:space="preserve">医院</w:t>
      </w:r>
      <w:r>
        <w:rPr>
          <w:rFonts w:hint="eastAsia" w:ascii="宋体" w:hAnsi="宋体" w:eastAsia="宋体" w:cs="宋体"/>
          <w:color w:val="auto"/>
          <w:sz w:val="24"/>
          <w:szCs w:val="24"/>
          <w:highlight w:val="none"/>
        </w:rPr>
        <w:t xml:space="preserve">；保安服务内容为招标方提供安全的工作和生活环境，包括但不限于医疗秩序维护、治安防范、消防安全、交通管理、应急处置及全院范围内的人员、设备设施的安全保卫工作管理等安保工作。</w:t>
      </w:r>
      <w:r/>
    </w:p>
    <w:p>
      <w:pPr>
        <w:numPr>
          <w:ilvl w:val="0"/>
          <w:numId w:val="5"/>
        </w:numPr>
        <w:ind w:left="0" w:firstLine="480"/>
        <w:keepLines w:val="0"/>
        <w:keepNext w:val="0"/>
        <w:pageBreakBefore w:val="0"/>
        <w:spacing w:line="500" w:lineRule="exact"/>
        <w:widowControl w:val="off"/>
        <w:tabs>
          <w:tab w:val="clear"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服务期限为3年，总编制岗位数</w:t>
      </w:r>
      <w:r>
        <w:rPr>
          <w:rFonts w:hint="eastAsia" w:ascii="宋体" w:hAnsi="宋体" w:eastAsia="宋体" w:cs="宋体"/>
          <w:b w:val="0"/>
          <w:bCs w:val="0"/>
          <w:color w:val="auto"/>
          <w:sz w:val="24"/>
          <w:szCs w:val="24"/>
          <w:highlight w:val="none"/>
          <w:lang w:val="en-US" w:eastAsia="zh-CN"/>
        </w:rPr>
        <w:t xml:space="preserve">76</w:t>
      </w:r>
      <w:r>
        <w:rPr>
          <w:rFonts w:hint="eastAsia" w:ascii="宋体" w:hAnsi="宋体" w:eastAsia="宋体" w:cs="宋体"/>
          <w:b w:val="0"/>
          <w:bCs w:val="0"/>
          <w:color w:val="auto"/>
          <w:sz w:val="24"/>
          <w:szCs w:val="24"/>
          <w:highlight w:val="none"/>
        </w:rPr>
        <w:t xml:space="preserve">个（见附件），合同实行一年一签，中标方应无条件配合。</w:t>
      </w:r>
      <w:r/>
    </w:p>
    <w:p>
      <w:pPr>
        <w:numPr>
          <w:ilvl w:val="0"/>
          <w:numId w:val="5"/>
        </w:numPr>
        <w:ind w:left="0" w:firstLine="480"/>
        <w:keepLines w:val="0"/>
        <w:keepNext w:val="0"/>
        <w:pageBreakBefore w:val="0"/>
        <w:spacing w:line="500" w:lineRule="exact"/>
        <w:widowControl w:val="off"/>
        <w:tabs>
          <w:tab w:val="clear" w:pos="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保安劳务费按编制岗位数实行总承包，包含</w:t>
      </w:r>
      <w:r>
        <w:rPr>
          <w:rFonts w:hint="eastAsia" w:ascii="宋体" w:hAnsi="宋体" w:eastAsia="宋体" w:cs="宋体"/>
          <w:b w:val="0"/>
          <w:bCs w:val="0"/>
          <w:color w:val="auto"/>
          <w:sz w:val="24"/>
          <w:szCs w:val="24"/>
          <w:highlight w:val="none"/>
          <w:lang w:eastAsia="zh-CN"/>
        </w:rPr>
        <w:t xml:space="preserve">中标方</w:t>
      </w:r>
      <w:r>
        <w:rPr>
          <w:rFonts w:hint="eastAsia" w:ascii="宋体" w:hAnsi="宋体" w:eastAsia="宋体" w:cs="宋体"/>
          <w:b w:val="0"/>
          <w:bCs w:val="0"/>
          <w:color w:val="auto"/>
          <w:sz w:val="24"/>
          <w:szCs w:val="24"/>
          <w:highlight w:val="none"/>
        </w:rPr>
        <w:t xml:space="preserve">发放的编制岗位保安员工资、机动轮休保安员工资、社会保险金、管理费、</w:t>
      </w:r>
      <w:r>
        <w:rPr>
          <w:rFonts w:hint="eastAsia" w:ascii="宋体" w:hAnsi="宋体" w:cs="宋体"/>
          <w:b w:val="0"/>
          <w:bCs w:val="0"/>
          <w:color w:val="auto"/>
          <w:sz w:val="24"/>
          <w:szCs w:val="24"/>
          <w:highlight w:val="none"/>
          <w:lang w:eastAsia="zh-CN"/>
        </w:rPr>
        <w:t xml:space="preserve">超时加班费、</w:t>
      </w:r>
      <w:r>
        <w:rPr>
          <w:rFonts w:hint="eastAsia" w:ascii="宋体" w:hAnsi="宋体" w:eastAsia="宋体" w:cs="宋体"/>
          <w:b w:val="0"/>
          <w:bCs w:val="0"/>
          <w:color w:val="auto"/>
          <w:sz w:val="24"/>
          <w:szCs w:val="24"/>
          <w:highlight w:val="none"/>
        </w:rPr>
        <w:t xml:space="preserve">服装费及保安员配备的通讯</w:t>
      </w:r>
      <w:r>
        <w:rPr>
          <w:rFonts w:hint="eastAsia" w:ascii="宋体" w:hAnsi="宋体" w:eastAsia="宋体" w:cs="宋体"/>
          <w:b w:val="0"/>
          <w:bCs w:val="0"/>
          <w:color w:val="auto"/>
          <w:sz w:val="24"/>
          <w:szCs w:val="24"/>
          <w:highlight w:val="none"/>
          <w:lang w:eastAsia="zh-CN"/>
        </w:rPr>
        <w:t xml:space="preserve">（对讲机）</w:t>
      </w:r>
      <w:r>
        <w:rPr>
          <w:rFonts w:hint="eastAsia" w:ascii="宋体" w:hAnsi="宋体" w:eastAsia="宋体" w:cs="宋体"/>
          <w:b w:val="0"/>
          <w:bCs w:val="0"/>
          <w:color w:val="auto"/>
          <w:sz w:val="24"/>
          <w:szCs w:val="24"/>
          <w:highlight w:val="none"/>
        </w:rPr>
        <w:t xml:space="preserve">、安全防护器材（盾牌、钢叉、辣椒水、警棍、腰带、强光手电、防爆头盔、防刺服等）、法定假日加班工资等。医院提供保安员24小时值班场所，按照合同支付劳务费，其它所有的项目及费用由保安公司承担。合同之外的其他临时或应急服务，由双方协商支付服务费用。</w:t>
      </w:r>
      <w:r/>
    </w:p>
    <w:p>
      <w:pPr>
        <w:ind w:firstLine="482"/>
        <w:keepLines w:val="0"/>
        <w:keepNext w:val="0"/>
        <w:pageBreakBefore w:val="0"/>
        <w:spacing w:line="380" w:lineRule="exact"/>
        <w:widowControl w:val="off"/>
        <w:rPr>
          <w:rFonts w:hint="eastAsia" w:ascii="宋体" w:hAnsi="宋体" w:eastAsia="宋体" w:cs="宋体"/>
          <w:b/>
          <w:bCs/>
          <w:strike w:val="0"/>
          <w:color w:val="auto"/>
          <w:highlight w:val="none"/>
          <w:lang w:eastAsia="zh-CN"/>
        </w:rPr>
      </w:pPr>
      <w:r>
        <w:rPr>
          <w:rFonts w:hint="eastAsia" w:ascii="宋体" w:hAnsi="宋体" w:cs="宋体"/>
          <w:b/>
          <w:bCs/>
          <w:strike w:val="0"/>
          <w:color w:val="auto"/>
          <w:sz w:val="24"/>
          <w:szCs w:val="24"/>
          <w:highlight w:val="none"/>
          <w:lang w:val="en-US" w:eastAsia="zh-CN"/>
        </w:rPr>
        <w:t xml:space="preserve">4、</w:t>
      </w:r>
      <w:r>
        <w:rPr>
          <w:rFonts w:hint="eastAsia" w:ascii="宋体" w:hAnsi="宋体" w:eastAsia="宋体" w:cs="宋体"/>
          <w:b/>
          <w:bCs/>
          <w:strike w:val="0"/>
          <w:color w:val="auto"/>
          <w:sz w:val="24"/>
          <w:szCs w:val="24"/>
          <w:highlight w:val="none"/>
        </w:rPr>
        <w:t xml:space="preserve">中标后在泰兴市要设有办公地点、党建阵地、训练场地等固定的经营场所和所需的设施、有健全的机构和制度</w:t>
      </w:r>
      <w:r>
        <w:rPr>
          <w:rFonts w:hint="eastAsia" w:ascii="宋体" w:hAnsi="宋体" w:cs="宋体"/>
          <w:b/>
          <w:bCs/>
          <w:strike w:val="0"/>
          <w:color w:val="auto"/>
          <w:sz w:val="24"/>
          <w:szCs w:val="24"/>
          <w:highlight w:val="none"/>
          <w:lang w:eastAsia="zh-CN"/>
        </w:rPr>
        <w:t xml:space="preserve">。</w:t>
      </w:r>
      <w:r/>
    </w:p>
    <w:p>
      <w:pPr>
        <w:numPr>
          <w:ilvl w:val="0"/>
          <w:numId w:val="0"/>
        </w:numPr>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对保安人员的聘用要求: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(1)身体条件:男身高原则在170cm以上，双眼视力（矫正）不低于5.0，身体健康，无心脑血管疾病和传染性疾病，相貌端正，仪表大方。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(2)政治素质:拥护党的路线、方针、政策，尊重领导和服务对象，服从安排，听从指挥，无违法犯罪记录等。爱岗敬业，恪尽职守，遵纪守法，文明执勤，礼貌待人，敢于同违法犯罪现象作斗争。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(3)业务技能要求:派遣保安员</w:t>
      </w:r>
      <w:r>
        <w:rPr>
          <w:rFonts w:hint="eastAsia" w:ascii="宋体" w:hAnsi="宋体" w:eastAsia="宋体" w:cs="宋体"/>
          <w:color w:val="auto"/>
          <w:sz w:val="24"/>
          <w:szCs w:val="24"/>
          <w:highlight w:val="none"/>
        </w:rPr>
        <w:t xml:space="preserve">具备相关法律法规知识及安保知识和消防知识，具备一定的语言和文字表达能力；从事机械停车设备岗位的保安员需要具备特种设备、机械、汽车驾驶、交通常识</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保安员要熟知职责任务，要有良好的职业道德和服务态度，对医务人员和患者及家属要以礼相待。着装统一，动作规范，语言文明，形象良好。权利义务、职业道德、礼仪规范，并落实到具体工作。严禁保安员在医院辱骂、训斥、挑衅、指责、</w:t>
      </w:r>
      <w:r>
        <w:rPr>
          <w:rFonts w:hint="eastAsia" w:ascii="宋体" w:hAnsi="宋体" w:eastAsia="宋体" w:cs="宋体"/>
          <w:color w:val="auto"/>
          <w:sz w:val="24"/>
          <w:szCs w:val="24"/>
          <w:highlight w:val="none"/>
          <w:lang w:eastAsia="zh-CN"/>
        </w:rPr>
        <w:t xml:space="preserve">怒</w:t>
      </w:r>
      <w:r>
        <w:rPr>
          <w:rFonts w:hint="eastAsia" w:ascii="宋体" w:hAnsi="宋体" w:eastAsia="宋体" w:cs="宋体"/>
          <w:color w:val="auto"/>
          <w:sz w:val="24"/>
          <w:szCs w:val="24"/>
          <w:highlight w:val="none"/>
        </w:rPr>
        <w:t xml:space="preserve">吼服务对象（打击违法犯罪时除外），保安员在医院如果遇到不公正的情况可</w:t>
      </w:r>
      <w:r>
        <w:rPr>
          <w:rFonts w:hint="eastAsia" w:ascii="宋体" w:hAnsi="宋体" w:eastAsia="宋体" w:cs="宋体"/>
          <w:color w:val="auto"/>
          <w:sz w:val="24"/>
          <w:szCs w:val="24"/>
          <w:highlight w:val="none"/>
          <w:lang w:eastAsia="zh-CN"/>
        </w:rPr>
        <w:t xml:space="preserve">逐级</w:t>
      </w:r>
      <w:r>
        <w:rPr>
          <w:rFonts w:hint="eastAsia" w:ascii="宋体" w:hAnsi="宋体" w:eastAsia="宋体" w:cs="宋体"/>
          <w:color w:val="auto"/>
          <w:sz w:val="24"/>
          <w:szCs w:val="24"/>
          <w:highlight w:val="none"/>
        </w:rPr>
        <w:t xml:space="preserve">反映。</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(4)文化条件:队员具备初中以上文化，具备良好的沟通协调能力。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(5)对保安人员配置的要求:按编制岗位如数配齐，年龄在 18-5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周岁，5</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周岁以</w:t>
      </w:r>
      <w:r>
        <w:rPr>
          <w:rFonts w:hint="eastAsia" w:ascii="宋体" w:hAnsi="宋体" w:eastAsia="宋体" w:cs="宋体"/>
          <w:color w:val="auto"/>
          <w:sz w:val="24"/>
          <w:szCs w:val="24"/>
          <w:highlight w:val="none"/>
          <w:lang w:eastAsia="zh-CN"/>
        </w:rPr>
        <w:t xml:space="preserve">下</w:t>
      </w:r>
      <w:r>
        <w:rPr>
          <w:rFonts w:hint="eastAsia" w:ascii="宋体" w:hAnsi="宋体" w:eastAsia="宋体" w:cs="宋体"/>
          <w:color w:val="auto"/>
          <w:sz w:val="24"/>
          <w:szCs w:val="24"/>
          <w:highlight w:val="none"/>
        </w:rPr>
        <w:t xml:space="preserve">人员不</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％。安检岗位配置女性保安员。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(6)在本合同执行期间，所有到医院工作的新增保安员，必须经</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面试合格</w:t>
      </w:r>
      <w:r>
        <w:rPr>
          <w:rFonts w:hint="eastAsia" w:ascii="宋体" w:hAnsi="宋体" w:eastAsia="宋体" w:cs="宋体"/>
          <w:color w:val="auto"/>
          <w:sz w:val="24"/>
          <w:szCs w:val="24"/>
          <w:highlight w:val="none"/>
          <w:lang w:eastAsia="zh-CN"/>
        </w:rPr>
        <w:t xml:space="preserve">；调离某保安员须经院方同意后执行；</w:t>
      </w:r>
      <w:r>
        <w:rPr>
          <w:rFonts w:hint="eastAsia" w:ascii="宋体" w:hAnsi="宋体" w:eastAsia="宋体" w:cs="宋体"/>
          <w:color w:val="auto"/>
          <w:sz w:val="24"/>
          <w:szCs w:val="24"/>
          <w:highlight w:val="none"/>
        </w:rPr>
        <w:t xml:space="preserve">保安员配备岗位数如有增减，按程序履行手续，并按照本次招标履约</w:t>
      </w:r>
      <w:r>
        <w:rPr>
          <w:rFonts w:hint="eastAsia" w:ascii="宋体" w:hAnsi="宋体" w:eastAsia="宋体" w:cs="宋体"/>
          <w:color w:val="auto"/>
          <w:sz w:val="24"/>
          <w:szCs w:val="24"/>
          <w:highlight w:val="none"/>
        </w:rPr>
        <w:t xml:space="preserve">合同岗位</w:t>
      </w:r>
      <w:r>
        <w:rPr>
          <w:rFonts w:hint="eastAsia" w:ascii="宋体" w:hAnsi="宋体" w:cs="宋体"/>
          <w:color w:val="auto"/>
          <w:sz w:val="24"/>
          <w:szCs w:val="24"/>
          <w:highlight w:val="none"/>
          <w:lang w:eastAsia="zh-CN"/>
        </w:rPr>
        <w:t xml:space="preserve">工资</w:t>
      </w:r>
      <w:r>
        <w:rPr>
          <w:rFonts w:hint="eastAsia" w:ascii="宋体" w:hAnsi="宋体" w:eastAsia="宋体" w:cs="宋体"/>
          <w:color w:val="auto"/>
          <w:sz w:val="24"/>
          <w:szCs w:val="24"/>
          <w:highlight w:val="none"/>
        </w:rPr>
        <w:t xml:space="preserve">计算增加或扣减。</w:t>
      </w:r>
      <w:r/>
    </w:p>
    <w:p>
      <w:pPr>
        <w:numPr>
          <w:ilvl w:val="0"/>
          <w:numId w:val="0"/>
        </w:numPr>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提供保安服务企业的基本要求: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(1)接受委托医院保安服务的中标企业必须具备独立的法人，具有企业法人营业执照、税务登记证，具有省公安厅颁发的保安服务许可证；根据保安人员配置要求提供详细的人员配置清单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中标后严格执行；有必要的管理人员，有相应的专业技术人员。</w:t>
      </w:r>
      <w:r>
        <w:rPr>
          <w:rFonts w:hint="eastAsia" w:ascii="宋体" w:hAnsi="宋体" w:eastAsia="宋体" w:cs="宋体"/>
          <w:color w:val="auto"/>
          <w:sz w:val="24"/>
          <w:szCs w:val="24"/>
          <w:highlight w:val="none"/>
        </w:rPr>
        <w:t xml:space="preserve">本项目不得挂靠、转包或拆包。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受委托负责医院保安服务的中标企业，必须具有保安服务的实际经验、拥有素质良好的保安队伍、有一套完整的医院保安运作方法和严格的操作规程；制定科学、严格的管理制度和工作质量标准；负责处理完结保安服务相关投诉，及时调换有损医院名誉的队员；定期对员工进行岗位培训，不断提高服务技能和意识；保安员应服从医院及派遣服务企业的双重管理，认真履行岗位职责，遵守医院的规章制度，服从医院的统一调配，遇紧急突发事件发生，必须积极作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委托负责医院安全保卫工作的保安服务企业，须与派遣保安员依法签订劳动合同、缴纳社会保险、出具保安员的上岗证等合法用工证明，并对合法用工全面负责。人员的配备、变更情况需经由双方书面确认，并报我市公安机关备案，如不符合上述要求，将依法取消投标资格和履约资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接受委托负责医院保安服务的中标企业，必须为保安员配备必要的通讯、安全防护和反恐防爆等设备器材。设备器材的配备必须符合国家有关法律法规及医疗行业规范、规定要求，保安员执勤期间必须佩戴通讯及安全防护器材。</w:t>
      </w:r>
      <w:r/>
    </w:p>
    <w:p>
      <w:pPr>
        <w:pStyle w:val="702"/>
        <w:ind w:firstLine="460"/>
        <w:keepLines w:val="0"/>
        <w:keepNext w:val="0"/>
        <w:pageBreakBefore w:val="0"/>
        <w:spacing w:line="500" w:lineRule="exact"/>
        <w:widowControl w:val="off"/>
        <w:tabs>
          <w:tab w:val="left" w:pos="94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(5)对保</w:t>
      </w:r>
      <w:r>
        <w:rPr>
          <w:rFonts w:hint="eastAsia" w:ascii="宋体" w:hAnsi="宋体" w:eastAsia="宋体" w:cs="宋体"/>
          <w:color w:val="auto"/>
          <w:sz w:val="24"/>
          <w:szCs w:val="24"/>
          <w:highlight w:val="none"/>
          <w:lang w:eastAsia="zh-CN"/>
        </w:rPr>
        <w:t xml:space="preserve">安</w:t>
      </w:r>
      <w:r>
        <w:rPr>
          <w:rFonts w:hint="eastAsia" w:ascii="宋体" w:hAnsi="宋体" w:eastAsia="宋体" w:cs="宋体"/>
          <w:color w:val="auto"/>
          <w:sz w:val="24"/>
          <w:szCs w:val="24"/>
          <w:highlight w:val="none"/>
        </w:rPr>
        <w:t xml:space="preserve">员配备的要求，按照编制岗位数如数配齐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24小时安排保安员值班。</w:t>
      </w:r>
      <w:r>
        <w:rPr>
          <w:rFonts w:hint="eastAsia" w:ascii="宋体" w:hAnsi="宋体" w:eastAsia="宋体" w:cs="宋体"/>
          <w:color w:val="auto"/>
          <w:sz w:val="24"/>
          <w:szCs w:val="24"/>
          <w:highlight w:val="none"/>
        </w:rPr>
        <w:t xml:space="preserve">并保证满员上岗，合理安排机动</w:t>
      </w: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rPr>
        <w:t xml:space="preserve">员，以应对节假日或平时保安员休息</w:t>
      </w:r>
      <w:r>
        <w:rPr>
          <w:rFonts w:hint="eastAsia" w:ascii="宋体" w:hAnsi="宋体" w:eastAsia="宋体" w:cs="宋体"/>
          <w:color w:val="auto"/>
          <w:sz w:val="24"/>
          <w:szCs w:val="24"/>
          <w:highlight w:val="none"/>
          <w:lang w:eastAsia="zh-CN"/>
        </w:rPr>
        <w:t xml:space="preserve">及突发状况应急处置</w:t>
      </w:r>
      <w:r>
        <w:rPr>
          <w:rFonts w:hint="eastAsia" w:ascii="宋体" w:hAnsi="宋体" w:eastAsia="宋体" w:cs="宋体"/>
          <w:color w:val="auto"/>
          <w:sz w:val="24"/>
          <w:szCs w:val="24"/>
          <w:highlight w:val="none"/>
        </w:rPr>
        <w:t xml:space="preserve">时出现人员不足问题，并能协调好在岗队员就餐、上卫生间等特殊安排，以保证不空岗。</w:t>
      </w:r>
      <w:r>
        <w:rPr>
          <w:rFonts w:hint="eastAsia" w:ascii="宋体" w:hAnsi="宋体" w:eastAsia="宋体" w:cs="宋体"/>
          <w:color w:val="auto"/>
          <w:sz w:val="24"/>
          <w:szCs w:val="24"/>
          <w:highlight w:val="none"/>
          <w:lang w:val="en-US" w:eastAsia="zh-CN"/>
        </w:rPr>
        <w:t xml:space="preserve">每月岗位排班表张贴上墙，</w:t>
      </w:r>
      <w:r>
        <w:rPr>
          <w:rFonts w:hint="eastAsia" w:ascii="宋体" w:hAnsi="宋体" w:eastAsia="宋体" w:cs="宋体"/>
          <w:color w:val="auto"/>
          <w:sz w:val="24"/>
          <w:szCs w:val="24"/>
          <w:highlight w:val="none"/>
          <w:lang w:eastAsia="zh-CN"/>
        </w:rPr>
        <w:t xml:space="preserve">执勤岗位张贴“保安执勤岗位服务公示”，</w:t>
      </w:r>
      <w:r>
        <w:rPr>
          <w:rFonts w:hint="eastAsia" w:ascii="宋体" w:hAnsi="宋体" w:eastAsia="宋体" w:cs="宋体"/>
          <w:color w:val="auto"/>
          <w:sz w:val="24"/>
          <w:szCs w:val="24"/>
          <w:highlight w:val="none"/>
          <w:lang w:val="en-US" w:eastAsia="zh-CN"/>
        </w:rPr>
        <w:t xml:space="preserve">保安员在交接班时实行实名上岗服务公示，主动接受社会及采购方监督管理</w:t>
      </w:r>
      <w:r>
        <w:rPr>
          <w:rFonts w:hint="eastAsia" w:ascii="宋体" w:hAnsi="宋体" w:eastAsia="宋体" w:cs="宋体"/>
          <w:color w:val="auto"/>
          <w:sz w:val="24"/>
          <w:szCs w:val="24"/>
          <w:highlight w:val="none"/>
          <w:lang w:eastAsia="zh-CN"/>
        </w:rPr>
        <w:t xml:space="preserve">。</w:t>
      </w:r>
      <w:r/>
    </w:p>
    <w:p>
      <w:pPr>
        <w:pStyle w:val="702"/>
        <w:ind w:firstLine="480"/>
        <w:keepLines w:val="0"/>
        <w:keepNext w:val="0"/>
        <w:pageBreakBefore w:val="0"/>
        <w:spacing w:line="500" w:lineRule="exact"/>
        <w:widowControl w:val="off"/>
        <w:tabs>
          <w:tab w:val="left" w:pos="94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廉洁从业要求，严格遵守医疗机构廉洁从业九项准则等相关行业规范，所派遣的保安员</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招标单位</w:t>
      </w:r>
      <w:r>
        <w:rPr>
          <w:rFonts w:hint="eastAsia" w:ascii="宋体" w:hAnsi="宋体" w:eastAsia="宋体" w:cs="宋体"/>
          <w:color w:val="auto"/>
          <w:sz w:val="24"/>
          <w:szCs w:val="24"/>
          <w:highlight w:val="none"/>
        </w:rPr>
        <w:t xml:space="preserve">职能部门</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不得有利害关系</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(7)接受委托的保安服务企业负责人为采购方安全保卫工作共同责任人，应明确本项目负责人，制定驻院保安分队队长工作实施方案及管理办法，切实按照合同做好管理责任落实。</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方对《泰兴市人民医院保安服务考评细则》进行确认，中标方按照合约履行职责，主动配合采购方按照合同的约定，对其队伍管理、人员履责等情况，进行督促检查和工作考评，及时调换不符合招标约定的保安员，对考评不及格、存在重大治安隐患拒不整改或因履职不到位发生重大案件事故的，医院有权依法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切实履行《企业事业单位内部治安保卫条例》、《保安服务管理条例》、《江苏省医疗机构治安保卫工作规定》等法律法规及规范性文件规定的保安服务企业相关职责。如果中标单位不完成应负的合同责任，由此影响招标单位的管理目标和任务指标，或给招标单位造成直接经济损失，中标单位应给予补偿和承担相应责任，直至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(10)接受委托负责医院保安服务的中标单位，在保证安全服务及服务质量的前提下，承担保安员在工作中因管理不当给服务单位造成一切风险及损失或导致的其他人身和财产损失。</w:t>
      </w:r>
      <w:r/>
    </w:p>
    <w:p>
      <w:pPr>
        <w:numPr>
          <w:ilvl w:val="0"/>
          <w:numId w:val="0"/>
        </w:numPr>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服务重点和质量要求: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健全保安人员教育、管理和培训制度;以突发事件现场先期处置、自助互救等为重点，依法依规定期组织开展演练;保证所管区域的正常工作秩序，保障院内交通畅通;切实做好防火灾、防盗窃、防抢劫、防爆炸、防破坏、防诈骗、防失窃密、防恐怖等治安防范工作，为医院正常运行提供安全的工作生活环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(2)负责医院的消防：</w:t>
      </w:r>
      <w:r>
        <w:rPr>
          <w:rFonts w:hint="eastAsia" w:ascii="宋体" w:hAnsi="宋体" w:eastAsia="宋体" w:cs="宋体"/>
          <w:color w:val="auto"/>
          <w:sz w:val="24"/>
          <w:szCs w:val="24"/>
          <w:highlight w:val="none"/>
          <w:lang w:val="en-US" w:eastAsia="zh-CN"/>
        </w:rPr>
        <w:t xml:space="preserve">承担医院消控室24小时值守、微型消防站备勤、日常防火巡查、隐患排查、消防设施器材检查、初起火灾处置、应急联动、迎检保障、消防安全培训、消防演练等工作；</w:t>
      </w:r>
      <w:r>
        <w:rPr>
          <w:rFonts w:hint="eastAsia" w:ascii="宋体" w:hAnsi="宋体" w:eastAsia="宋体" w:cs="宋体"/>
          <w:color w:val="auto"/>
          <w:sz w:val="24"/>
          <w:szCs w:val="24"/>
          <w:highlight w:val="none"/>
        </w:rPr>
        <w:t xml:space="preserve">按照规章做好院内防火巡查、检查，并规范记录、处理消防问题，项目负责人及管理人员要经常组织派遣保安员进行消防知识及火灾应急操作规程培训，不断提高保安员对医院消防安全的认识和实际技能的操作，一旦出现火情第一时间赶到现场并能有效正确实施灭火。</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医院的治安防范：24小时监控，护院巡查(要有记录)，重点监控门急诊区域、出入院处、病房、停车场、各类库房、集体宿舍、教学场所及其他公共区域等治安保卫重要部位:负责医院内的车辆保管和交通秩序，达到文明城市创建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(4)维护医院的正常秩序，</w:t>
      </w:r>
      <w:r>
        <w:rPr>
          <w:rFonts w:hint="eastAsia" w:ascii="宋体" w:hAnsi="宋体" w:eastAsia="宋体" w:cs="宋体"/>
          <w:color w:val="auto"/>
          <w:sz w:val="24"/>
          <w:szCs w:val="24"/>
          <w:highlight w:val="none"/>
        </w:rPr>
        <w:t xml:space="preserve">对各种突发事件能及时先期处置控制，制止发生在医院的违法行为以及发生的治安事件、涉嫌刑事犯罪案件、治安突发事件；协助公安机关打击不法分子对医院的干扰，特别是对医托、盗窃分子的打击。负责医院医务人员工作时间的人身安全，一旦出现医患纠纷，保安人员要第一时间赶赴现场维护秩序，独立并有效制止一些影响医院形象，干扰医疗秩序的行为，必要时保安(企业)队员报警，并采取相应的救援、控制等措施保护现场，有效配合公安机关侦查、处置。在上述工作行为中，如出现法律纠纷或酿成治安事件，由保安服务公司独立承担相应责任和后果，与医院无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派遣保安员依法、依规查验出入医院人员的证件，登记出入的物品和车辆，负责院区内治安巡逻、守护、检查、报警监控，协助公安机关打击医托、盗窃等不法分子对医院的干扰，记录相关情况；经常与临床、医技科室沟通，及时解决各科室(病区)提出的安保问题，如自身不能解决，应采取有效防范措施，同时，向医院归口职能部门提出相关建议报告。</w:t>
      </w:r>
      <w:r/>
    </w:p>
    <w:p>
      <w:pPr>
        <w:pStyle w:val="659"/>
        <w:numPr>
          <w:ilvl w:val="-1"/>
          <w:numId w:val="0"/>
        </w:numPr>
        <w:ind w:firstLine="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9"/>
        <w:numPr>
          <w:ilvl w:val="-1"/>
          <w:numId w:val="0"/>
        </w:numPr>
        <w:ind w:firstLine="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9"/>
        <w:numPr>
          <w:ilvl w:val="-1"/>
          <w:numId w:val="0"/>
        </w:numPr>
        <w:ind w:firstLine="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9"/>
        <w:numPr>
          <w:ilvl w:val="-1"/>
          <w:numId w:val="0"/>
        </w:numPr>
        <w:ind w:firstLine="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keepLines w:val="0"/>
        <w:keepNext w:val="0"/>
        <w:pageBreakBefore w:val="0"/>
        <w:spacing w:line="500" w:lineRule="exact"/>
        <w:widowControl w:val="off"/>
        <w:rPr>
          <w:rFonts w:hint="eastAsia" w:ascii="宋体" w:hAnsi="宋体" w:cs="宋体"/>
          <w:b w:val="0"/>
          <w:bCs w:val="0"/>
          <w:color w:val="auto"/>
          <w:sz w:val="24"/>
          <w:szCs w:val="24"/>
          <w:highlight w:val="none"/>
          <w:lang w:val="en-US" w:eastAsia="zh-CN"/>
        </w:rPr>
        <w:sectPr>
          <w:footerReference w:type="default" r:id="rId9"/>
          <w:footnotePr/>
          <w:endnotePr/>
          <w:type w:val="nextPage"/>
          <w:pgSz w:w="11906" w:h="16838" w:orient="portrait"/>
          <w:pgMar w:top="1213" w:right="1558" w:bottom="1157" w:left="1701" w:header="851" w:footer="992" w:gutter="0"/>
          <w:cols w:num="1" w:sep="0" w:space="425" w:equalWidth="1"/>
          <w:docGrid w:linePitch="360"/>
        </w:sectPr>
      </w:pPr>
      <w:r>
        <w:rPr>
          <w:rFonts w:hint="eastAsia" w:ascii="宋体" w:hAnsi="宋体" w:cs="宋体"/>
          <w:b w:val="0"/>
          <w:bCs w:val="0"/>
          <w:color w:val="auto"/>
          <w:sz w:val="24"/>
          <w:szCs w:val="24"/>
          <w:highlight w:val="none"/>
          <w:lang w:val="en-US" w:eastAsia="zh-CN"/>
        </w:rPr>
      </w:r>
      <w:r/>
    </w:p>
    <w:p>
      <w:pPr>
        <w:numPr>
          <w:ilvl w:val="0"/>
          <w:numId w:val="0"/>
        </w:numPr>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保安执勤岗位配备表</w:t>
      </w:r>
      <w:r/>
    </w:p>
    <w:tbl>
      <w:tblPr>
        <w:tblStyle w:val="638"/>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935"/>
        <w:gridCol w:w="870"/>
        <w:gridCol w:w="4954"/>
      </w:tblGrid>
      <w:tr>
        <w:trPr>
          <w:trHeight w:val="262"/>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120" w:right="-120"/>
              <w:jc w:val="center"/>
              <w:keepLines w:val="0"/>
              <w:keepNext w:val="0"/>
              <w:pageBreakBefore w:val="0"/>
              <w:spacing w:line="3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120" w:right="-120"/>
              <w:jc w:val="center"/>
              <w:keepLines w:val="0"/>
              <w:keepNext w:val="0"/>
              <w:pageBreakBefore w:val="0"/>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岗位数</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人员班次</w:t>
            </w:r>
            <w:r/>
          </w:p>
        </w:tc>
      </w:tr>
      <w:tr>
        <w:trPr>
          <w:trHeight w:val="262"/>
        </w:trPr>
        <w:tc>
          <w:tcPr>
            <w:gridSpan w:val="4"/>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eastAsia="zh-CN"/>
              </w:rPr>
            </w:pPr>
            <w:r>
              <w:rPr>
                <w:rFonts w:hint="eastAsia" w:ascii="宋体" w:hAnsi="宋体" w:cs="宋体"/>
                <w:b/>
                <w:bCs/>
                <w:color w:val="auto"/>
                <w:sz w:val="24"/>
                <w:szCs w:val="24"/>
                <w:highlight w:val="none"/>
                <w:lang w:eastAsia="zh-CN"/>
              </w:rPr>
              <w:t xml:space="preserve">长征路院区</w:t>
            </w:r>
            <w:r/>
          </w:p>
        </w:tc>
      </w:tr>
      <w:tr>
        <w:trPr>
          <w:trHeight w:val="223"/>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120" w:right="-120"/>
              <w:jc w:val="center"/>
              <w:keepLines w:val="0"/>
              <w:keepNext w:val="0"/>
              <w:pageBreakBefore w:val="0"/>
              <w:spacing w:line="3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1号楼</w:t>
            </w:r>
            <w:r>
              <w:rPr>
                <w:rFonts w:hint="eastAsia" w:ascii="宋体" w:hAnsi="宋体" w:cs="宋体"/>
                <w:color w:val="auto"/>
                <w:sz w:val="24"/>
                <w:szCs w:val="24"/>
                <w:highlight w:val="none"/>
                <w:lang w:eastAsia="zh-CN"/>
              </w:rPr>
              <w:t xml:space="preserve">东大门区域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bCs/>
                <w:color w:val="auto"/>
                <w:sz w:val="24"/>
                <w:szCs w:val="24"/>
                <w:highlight w:val="none"/>
              </w:rPr>
              <w:t xml:space="preserve">24小时，每8小时1</w:t>
            </w:r>
            <w:r>
              <w:rPr>
                <w:rFonts w:hint="eastAsia" w:ascii="宋体" w:hAnsi="宋体" w:cs="宋体"/>
                <w:color w:val="auto"/>
                <w:sz w:val="24"/>
                <w:szCs w:val="24"/>
                <w:highlight w:val="none"/>
              </w:rPr>
              <w:t xml:space="preserve">个</w:t>
            </w:r>
            <w:r>
              <w:rPr>
                <w:rFonts w:hint="eastAsia" w:ascii="宋体" w:hAnsi="宋体" w:cs="宋体"/>
                <w:bCs/>
                <w:color w:val="auto"/>
                <w:sz w:val="24"/>
                <w:szCs w:val="24"/>
                <w:highlight w:val="none"/>
              </w:rPr>
              <w:t xml:space="preserve">；</w:t>
            </w:r>
            <w:r/>
          </w:p>
        </w:tc>
      </w:tr>
      <w:tr>
        <w:trPr>
          <w:trHeight w:val="223"/>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120" w:right="-120"/>
              <w:jc w:val="center"/>
              <w:keepLines w:val="0"/>
              <w:keepNext w:val="0"/>
              <w:pageBreakBefore w:val="0"/>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1号楼</w:t>
            </w:r>
            <w:r>
              <w:rPr>
                <w:rFonts w:hint="eastAsia" w:ascii="宋体" w:hAnsi="宋体" w:cs="宋体"/>
                <w:color w:val="auto"/>
                <w:sz w:val="24"/>
                <w:szCs w:val="24"/>
                <w:highlight w:val="none"/>
                <w:lang w:eastAsia="zh-CN"/>
              </w:rPr>
              <w:t xml:space="preserve">楼北区域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常白班</w:t>
            </w:r>
            <w:r/>
          </w:p>
        </w:tc>
      </w:tr>
      <w:tr>
        <w:trPr>
          <w:trHeight w:val="223"/>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120" w:right="-120"/>
              <w:jc w:val="center"/>
              <w:keepLines w:val="0"/>
              <w:keepNext w:val="0"/>
              <w:pageBreakBefore w:val="0"/>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1号楼</w:t>
            </w:r>
            <w:r>
              <w:rPr>
                <w:rFonts w:hint="eastAsia" w:ascii="宋体" w:hAnsi="宋体" w:cs="宋体"/>
                <w:b/>
                <w:bCs/>
                <w:color w:val="auto"/>
                <w:sz w:val="24"/>
                <w:szCs w:val="24"/>
                <w:highlight w:val="none"/>
                <w:lang w:val="en-US" w:eastAsia="zh-CN"/>
              </w:rPr>
              <w:t xml:space="preserve">消</w:t>
            </w:r>
            <w:r>
              <w:rPr>
                <w:rFonts w:hint="eastAsia" w:ascii="宋体" w:hAnsi="宋体" w:cs="宋体"/>
                <w:color w:val="auto"/>
                <w:sz w:val="24"/>
                <w:szCs w:val="24"/>
                <w:highlight w:val="none"/>
              </w:rPr>
              <w:t xml:space="preserve">控</w:t>
            </w:r>
            <w:r>
              <w:rPr>
                <w:rFonts w:hint="eastAsia" w:ascii="宋体" w:hAnsi="宋体" w:cs="宋体"/>
                <w:color w:val="auto"/>
                <w:sz w:val="24"/>
                <w:szCs w:val="24"/>
                <w:highlight w:val="none"/>
                <w:lang w:eastAsia="zh-CN"/>
              </w:rPr>
              <w:t xml:space="preserve">室</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24小时，</w:t>
            </w:r>
            <w:r>
              <w:rPr>
                <w:rFonts w:hint="eastAsia" w:ascii="宋体" w:hAnsi="宋体" w:cs="宋体"/>
                <w:color w:val="auto"/>
                <w:sz w:val="24"/>
                <w:szCs w:val="24"/>
                <w:highlight w:val="none"/>
              </w:rPr>
              <w:t xml:space="preserve">三班制各2个</w:t>
            </w:r>
            <w:r>
              <w:rPr>
                <w:rFonts w:hint="eastAsia" w:ascii="宋体" w:hAnsi="宋体" w:cs="宋体"/>
                <w:color w:val="auto"/>
                <w:sz w:val="24"/>
                <w:szCs w:val="24"/>
                <w:highlight w:val="none"/>
                <w:lang w:eastAsia="zh-CN"/>
              </w:rPr>
              <w:t xml:space="preserve">（内保协同）</w:t>
            </w:r>
            <w:r/>
          </w:p>
        </w:tc>
      </w:tr>
      <w:tr>
        <w:trPr>
          <w:trHeight w:val="223"/>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120" w:right="-120"/>
              <w:jc w:val="center"/>
              <w:keepLines w:val="0"/>
              <w:keepNext w:val="0"/>
              <w:pageBreakBefore w:val="0"/>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default"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1号楼地下停车场</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lang w:eastAsia="zh-CN"/>
              </w:rPr>
              <w:t xml:space="preserve">常白班</w:t>
            </w:r>
            <w:r/>
          </w:p>
        </w:tc>
      </w:tr>
      <w:tr>
        <w:trPr>
          <w:trHeight w:val="223"/>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default"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急诊区域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lang w:eastAsia="zh-CN"/>
              </w:rPr>
              <w:t xml:space="preserve">三班各</w:t>
            </w:r>
            <w:r>
              <w:rPr>
                <w:rFonts w:hint="eastAsia" w:ascii="宋体" w:hAnsi="宋体" w:cs="宋体"/>
                <w:bCs/>
                <w:color w:val="auto"/>
                <w:sz w:val="24"/>
                <w:szCs w:val="24"/>
                <w:highlight w:val="none"/>
              </w:rPr>
              <w:t xml:space="preserve">1个</w:t>
            </w:r>
            <w:r/>
          </w:p>
        </w:tc>
      </w:tr>
      <w:tr>
        <w:trPr>
          <w:trHeight w:val="223"/>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bCs/>
                <w:color w:val="auto"/>
                <w:sz w:val="24"/>
                <w:szCs w:val="24"/>
                <w:highlight w:val="none"/>
                <w:lang w:val="en-US" w:eastAsia="zh-CN" w:bidi="ar-SA"/>
              </w:rPr>
            </w:pPr>
            <w:r>
              <w:rPr>
                <w:rFonts w:hint="eastAsia" w:ascii="宋体" w:hAnsi="宋体" w:cs="宋体"/>
                <w:bCs/>
                <w:color w:val="auto"/>
                <w:sz w:val="24"/>
                <w:szCs w:val="24"/>
                <w:highlight w:val="none"/>
              </w:rPr>
              <w:t xml:space="preserve">急诊大门</w:t>
            </w:r>
            <w:r>
              <w:rPr>
                <w:rFonts w:hint="eastAsia" w:ascii="宋体" w:hAnsi="宋体" w:cs="宋体"/>
                <w:bCs/>
                <w:color w:val="auto"/>
                <w:sz w:val="24"/>
                <w:szCs w:val="24"/>
                <w:highlight w:val="none"/>
                <w:lang w:eastAsia="zh-CN"/>
              </w:rPr>
              <w:t xml:space="preserve">外</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default"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lang w:eastAsia="zh-CN"/>
              </w:rPr>
              <w:t xml:space="preserve">早中班各</w:t>
            </w:r>
            <w:r>
              <w:rPr>
                <w:rFonts w:hint="eastAsia" w:ascii="宋体" w:hAnsi="宋体" w:cs="宋体"/>
                <w:bCs/>
                <w:color w:val="auto"/>
                <w:sz w:val="24"/>
                <w:szCs w:val="24"/>
                <w:highlight w:val="none"/>
                <w:lang w:val="en-US" w:eastAsia="zh-CN"/>
              </w:rPr>
              <w:t xml:space="preserve">1</w:t>
            </w:r>
            <w:r/>
          </w:p>
        </w:tc>
      </w:tr>
      <w:tr>
        <w:trPr>
          <w:trHeight w:val="223"/>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北大门区域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widowControl/>
              <w:rPr>
                <w:rFonts w:hint="eastAsia"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24小时，每8小时1</w:t>
            </w:r>
            <w:r>
              <w:rPr>
                <w:rFonts w:hint="eastAsia" w:ascii="宋体" w:hAnsi="宋体" w:cs="宋体"/>
                <w:color w:val="auto"/>
                <w:sz w:val="24"/>
                <w:szCs w:val="24"/>
                <w:highlight w:val="none"/>
              </w:rPr>
              <w:t xml:space="preserve">个</w:t>
            </w:r>
            <w:r>
              <w:rPr>
                <w:rFonts w:hint="eastAsia" w:ascii="宋体" w:hAnsi="宋体" w:cs="宋体"/>
                <w:bCs/>
                <w:color w:val="auto"/>
                <w:sz w:val="24"/>
                <w:szCs w:val="24"/>
                <w:highlight w:val="none"/>
              </w:rPr>
              <w:t xml:space="preserve">；</w:t>
            </w:r>
            <w:r/>
          </w:p>
        </w:tc>
      </w:tr>
      <w:tr>
        <w:trPr>
          <w:trHeight w:val="99"/>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门诊广场区域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2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门诊门口:</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个</w:t>
            </w:r>
            <w:r>
              <w:rPr>
                <w:rFonts w:hint="eastAsia" w:ascii="宋体" w:hAnsi="宋体" w:cs="宋体"/>
                <w:color w:val="auto"/>
                <w:sz w:val="24"/>
                <w:szCs w:val="24"/>
                <w:highlight w:val="none"/>
                <w:lang w:eastAsia="zh-CN"/>
              </w:rPr>
              <w:t xml:space="preserve">；东</w:t>
            </w:r>
            <w:r>
              <w:rPr>
                <w:rFonts w:hint="eastAsia" w:ascii="宋体" w:hAnsi="宋体" w:cs="宋体"/>
                <w:color w:val="auto"/>
                <w:sz w:val="24"/>
                <w:szCs w:val="24"/>
                <w:highlight w:val="none"/>
                <w:lang w:val="en-US" w:eastAsia="zh-CN"/>
              </w:rPr>
              <w:t xml:space="preserve">1个；</w:t>
            </w:r>
            <w:r>
              <w:rPr>
                <w:rFonts w:hint="eastAsia" w:ascii="宋体" w:hAnsi="宋体" w:cs="宋体"/>
                <w:color w:val="auto"/>
                <w:sz w:val="24"/>
                <w:szCs w:val="24"/>
                <w:highlight w:val="none"/>
              </w:rPr>
              <w:t xml:space="preserve">中间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个；</w:t>
            </w:r>
            <w:r/>
          </w:p>
          <w:p>
            <w:pPr>
              <w:jc w:val="center"/>
              <w:keepLines w:val="0"/>
              <w:keepNext w:val="0"/>
              <w:pageBreakBefore w:val="0"/>
              <w:spacing w:line="260" w:lineRule="exact"/>
              <w:widowControl/>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西</w:t>
            </w:r>
            <w:r>
              <w:rPr>
                <w:rFonts w:hint="eastAsia" w:ascii="宋体" w:hAnsi="宋体" w:cs="宋体"/>
                <w:color w:val="auto"/>
                <w:sz w:val="24"/>
                <w:szCs w:val="24"/>
                <w:highlight w:val="none"/>
                <w:lang w:val="en-US" w:eastAsia="zh-CN"/>
              </w:rPr>
              <w:t xml:space="preserve">（老急诊区域）</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2个</w:t>
            </w:r>
            <w:r>
              <w:rPr>
                <w:rFonts w:hint="eastAsia" w:ascii="宋体" w:hAnsi="宋体" w:cs="宋体"/>
                <w:color w:val="auto"/>
                <w:sz w:val="24"/>
                <w:szCs w:val="24"/>
                <w:highlight w:val="none"/>
                <w:lang w:eastAsia="zh-CN"/>
              </w:rPr>
              <w:t xml:space="preserve">；</w:t>
            </w:r>
            <w:r/>
          </w:p>
        </w:tc>
      </w:tr>
      <w:tr>
        <w:trPr>
          <w:trHeight w:val="99"/>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门诊区域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门急诊巡逻2个</w:t>
            </w:r>
            <w:r>
              <w:rPr>
                <w:rFonts w:hint="eastAsia" w:ascii="宋体" w:hAnsi="宋体" w:cs="宋体"/>
                <w:bCs/>
                <w:color w:val="auto"/>
                <w:sz w:val="24"/>
                <w:szCs w:val="24"/>
                <w:highlight w:val="none"/>
              </w:rPr>
              <w:t xml:space="preserve">，夜间守护1</w:t>
            </w:r>
            <w:r>
              <w:rPr>
                <w:rFonts w:hint="eastAsia" w:ascii="宋体" w:hAnsi="宋体" w:cs="宋体"/>
                <w:bCs/>
                <w:color w:val="auto"/>
                <w:sz w:val="24"/>
                <w:szCs w:val="24"/>
                <w:highlight w:val="none"/>
                <w:lang w:eastAsia="zh-CN"/>
              </w:rPr>
              <w:t xml:space="preserve">个</w:t>
            </w:r>
            <w:r/>
          </w:p>
        </w:tc>
      </w:tr>
      <w:tr>
        <w:trPr>
          <w:trHeight w:val="99"/>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2号楼</w:t>
            </w:r>
            <w:r>
              <w:rPr>
                <w:rFonts w:hint="eastAsia" w:ascii="宋体" w:hAnsi="宋体" w:cs="宋体"/>
                <w:bCs/>
                <w:color w:val="auto"/>
                <w:sz w:val="24"/>
                <w:szCs w:val="24"/>
                <w:highlight w:val="none"/>
              </w:rPr>
              <w:t xml:space="preserve">地下车库</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8小时，按照地下车库班组班次排班</w:t>
            </w:r>
            <w:r/>
          </w:p>
        </w:tc>
      </w:tr>
      <w:tr>
        <w:trPr>
          <w:trHeight w:val="99"/>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住院部区域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中门卫三班各1，住院部</w:t>
            </w:r>
            <w:r>
              <w:rPr>
                <w:rFonts w:hint="eastAsia" w:ascii="宋体" w:hAnsi="宋体" w:cs="宋体"/>
                <w:color w:val="auto"/>
                <w:sz w:val="24"/>
                <w:szCs w:val="24"/>
                <w:highlight w:val="none"/>
                <w:lang w:eastAsia="zh-CN"/>
              </w:rPr>
              <w:t xml:space="preserve">常白</w:t>
            </w:r>
            <w:r>
              <w:rPr>
                <w:rFonts w:hint="eastAsia" w:ascii="宋体" w:hAnsi="宋体" w:cs="宋体"/>
                <w:color w:val="auto"/>
                <w:sz w:val="24"/>
                <w:szCs w:val="24"/>
                <w:highlight w:val="none"/>
              </w:rPr>
              <w:t xml:space="preserve">班1</w:t>
            </w:r>
            <w:r/>
          </w:p>
        </w:tc>
      </w:tr>
      <w:tr>
        <w:trPr>
          <w:trHeight w:val="99"/>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bCs/>
                <w:color w:val="auto"/>
                <w:sz w:val="24"/>
                <w:szCs w:val="24"/>
                <w:highlight w:val="none"/>
                <w:lang w:val="en-US" w:eastAsia="zh-CN" w:bidi="ar-SA"/>
              </w:rPr>
            </w:pPr>
            <w:r>
              <w:rPr>
                <w:rFonts w:hint="eastAsia" w:ascii="宋体" w:hAnsi="宋体" w:cs="宋体"/>
                <w:bCs/>
                <w:color w:val="auto"/>
                <w:sz w:val="24"/>
                <w:szCs w:val="24"/>
                <w:highlight w:val="none"/>
              </w:rPr>
              <w:t xml:space="preserve">西大门区域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15</w:t>
            </w:r>
            <w:r>
              <w:rPr>
                <w:rFonts w:hint="eastAsia" w:ascii="宋体" w:hAnsi="宋体" w:cs="宋体"/>
                <w:bCs/>
                <w:color w:val="auto"/>
                <w:sz w:val="24"/>
                <w:szCs w:val="24"/>
                <w:highlight w:val="none"/>
              </w:rPr>
              <w:t xml:space="preserve">:00</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23</w:t>
            </w:r>
            <w:r>
              <w:rPr>
                <w:rFonts w:hint="eastAsia" w:ascii="宋体" w:hAnsi="宋体" w:cs="宋体"/>
                <w:bCs/>
                <w:color w:val="auto"/>
                <w:sz w:val="24"/>
                <w:szCs w:val="24"/>
                <w:highlight w:val="none"/>
                <w:lang w:val="en-US" w:eastAsia="zh-CN"/>
              </w:rPr>
              <w:t xml:space="preserve">:00</w:t>
            </w:r>
            <w:r>
              <w:rPr>
                <w:rFonts w:hint="eastAsia" w:ascii="宋体" w:hAnsi="宋体" w:cs="宋体"/>
                <w:bCs/>
                <w:color w:val="auto"/>
                <w:sz w:val="24"/>
                <w:szCs w:val="24"/>
                <w:highlight w:val="none"/>
              </w:rPr>
              <w:t xml:space="preserve">时</w:t>
            </w:r>
            <w:r/>
          </w:p>
        </w:tc>
      </w:tr>
      <w:tr>
        <w:trPr>
          <w:trHeight w:val="70"/>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26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1号楼南侧马路</w:t>
            </w:r>
            <w:r/>
          </w:p>
          <w:p>
            <w:pPr>
              <w:jc w:val="center"/>
              <w:keepLines w:val="0"/>
              <w:keepNext w:val="0"/>
              <w:pageBreakBefore w:val="0"/>
              <w:spacing w:line="260" w:lineRule="exact"/>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（非机动车）</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常白班1个</w:t>
            </w:r>
            <w:r/>
          </w:p>
        </w:tc>
      </w:tr>
      <w:tr>
        <w:trPr>
          <w:trHeight w:val="70"/>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行政楼办公区</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常白班</w:t>
            </w:r>
            <w:r>
              <w:rPr>
                <w:rFonts w:hint="eastAsia" w:ascii="宋体" w:hAnsi="宋体" w:cs="宋体"/>
                <w:color w:val="auto"/>
                <w:sz w:val="24"/>
                <w:szCs w:val="24"/>
                <w:highlight w:val="none"/>
              </w:rPr>
              <w:t xml:space="preserve">1个（协助医患沟通办）</w:t>
            </w:r>
            <w:r/>
          </w:p>
        </w:tc>
      </w:tr>
      <w:tr>
        <w:trPr>
          <w:trHeight w:val="139"/>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ind w:left="-120" w:right="-120"/>
              <w:jc w:val="center"/>
              <w:keepLines w:val="0"/>
              <w:keepNext w:val="0"/>
              <w:pageBreakBefore w:val="0"/>
              <w:spacing w:line="2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微型消防站</w:t>
            </w:r>
            <w:r/>
          </w:p>
          <w:p>
            <w:pPr>
              <w:ind w:left="-120" w:right="-120"/>
              <w:jc w:val="center"/>
              <w:keepLines w:val="0"/>
              <w:keepNext w:val="0"/>
              <w:pageBreakBefore w:val="0"/>
              <w:spacing w:line="280" w:lineRule="exact"/>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消防、治安</w:t>
            </w:r>
            <w:r>
              <w:rPr>
                <w:rFonts w:hint="eastAsia" w:ascii="宋体" w:hAnsi="宋体" w:cs="宋体"/>
                <w:color w:val="auto"/>
                <w:sz w:val="24"/>
                <w:szCs w:val="24"/>
                <w:highlight w:val="none"/>
                <w:lang w:eastAsia="zh-CN"/>
              </w:rPr>
              <w:t xml:space="preserve">、交通</w:t>
            </w:r>
            <w:r>
              <w:rPr>
                <w:rFonts w:hint="eastAsia" w:ascii="宋体" w:hAnsi="宋体" w:cs="宋体"/>
                <w:color w:val="auto"/>
                <w:sz w:val="24"/>
                <w:szCs w:val="24"/>
                <w:highlight w:val="none"/>
              </w:rPr>
              <w:t xml:space="preserve">巡查</w:t>
            </w:r>
            <w:r>
              <w:rPr>
                <w:rFonts w:hint="eastAsia" w:ascii="宋体" w:hAnsi="宋体" w:cs="宋体"/>
                <w:color w:val="auto"/>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widowControl w:val="off"/>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24小时，三班制各</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带班长3</w:t>
            </w:r>
            <w:r/>
          </w:p>
        </w:tc>
      </w:tr>
      <w:tr>
        <w:trPr>
          <w:trHeight w:val="70"/>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应急</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常白班</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机动应急</w:t>
            </w:r>
            <w:r/>
          </w:p>
        </w:tc>
      </w:tr>
      <w:tr>
        <w:trPr>
          <w:trHeight w:val="211"/>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安检</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1号楼、2号楼各1</w:t>
            </w:r>
            <w:r>
              <w:rPr>
                <w:rFonts w:hint="eastAsia" w:ascii="宋体" w:hAnsi="宋体" w:cs="宋体"/>
                <w:color w:val="auto"/>
                <w:sz w:val="24"/>
                <w:szCs w:val="24"/>
                <w:highlight w:val="none"/>
              </w:rPr>
              <w:t xml:space="preserve">常白班</w:t>
            </w:r>
            <w:r/>
          </w:p>
        </w:tc>
      </w:tr>
      <w:tr>
        <w:trPr>
          <w:trHeight w:val="74"/>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卫校停车场</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与内保早、中班对倒</w:t>
            </w:r>
            <w:r/>
          </w:p>
        </w:tc>
      </w:tr>
      <w:tr>
        <w:trPr>
          <w:trHeight w:val="74"/>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职工临时停车场</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常白班</w:t>
            </w:r>
            <w:r/>
          </w:p>
        </w:tc>
      </w:tr>
      <w:tr>
        <w:trPr>
          <w:trHeight w:val="74"/>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供销职校</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b/>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24小时三班制各1个</w:t>
            </w:r>
            <w:r/>
          </w:p>
        </w:tc>
      </w:tr>
      <w:tr>
        <w:trPr>
          <w:trHeight w:val="233"/>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分队长</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分队管理</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rPr>
              <w:t xml:space="preserve">小计</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cs="宋体" w:eastAsiaTheme="minorEastAsia"/>
                <w:color w:val="auto"/>
                <w:sz w:val="24"/>
                <w:szCs w:val="24"/>
                <w:highlight w:val="none"/>
                <w:lang w:val="en-US" w:eastAsia="zh-CN" w:bidi="ar-SA"/>
              </w:rPr>
            </w:pPr>
            <w:r>
              <w:rPr>
                <w:rFonts w:hint="eastAsia" w:ascii="宋体" w:hAnsi="宋体" w:cs="宋体"/>
                <w:b/>
                <w:color w:val="auto"/>
                <w:sz w:val="24"/>
                <w:szCs w:val="24"/>
                <w:highlight w:val="none"/>
                <w:lang w:val="en-US" w:eastAsia="zh-CN"/>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ascii="宋体" w:hAnsi="宋体" w:cs="宋体" w:eastAsiaTheme="minorEastAsia"/>
                <w:color w:val="auto"/>
                <w:sz w:val="24"/>
                <w:szCs w:val="24"/>
                <w:highlight w:val="none"/>
                <w:lang w:val="en-US" w:eastAsia="zh-CN" w:bidi="ar-SA"/>
              </w:rPr>
            </w:r>
            <w:r/>
          </w:p>
        </w:tc>
      </w:tr>
      <w:tr>
        <w:trPr>
          <w:trHeight w:val="252"/>
        </w:trPr>
        <w:tc>
          <w:tcPr>
            <w:gridSpan w:val="4"/>
            <w:shd w:val="clear" w:color="auto" w:fill="auto"/>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润泰路院区</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院区进口区域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24小时，三班制各1个</w:t>
            </w:r>
            <w:r>
              <w:rPr>
                <w:rFonts w:hint="eastAsia" w:ascii="宋体" w:hAnsi="宋体" w:cs="宋体"/>
                <w:color w:val="auto"/>
                <w:sz w:val="24"/>
                <w:szCs w:val="24"/>
                <w:highlight w:val="none"/>
                <w:lang w:eastAsia="zh-CN"/>
              </w:rPr>
              <w:t xml:space="preserve">（兼管出口）</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门诊</w:t>
            </w:r>
            <w:r>
              <w:rPr>
                <w:rFonts w:hint="eastAsia" w:ascii="宋体" w:hAnsi="宋体" w:cs="宋体"/>
                <w:color w:val="auto"/>
                <w:sz w:val="24"/>
                <w:szCs w:val="24"/>
                <w:highlight w:val="none"/>
                <w:lang w:eastAsia="zh-CN"/>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常白班</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消</w:t>
            </w:r>
            <w:r>
              <w:rPr>
                <w:rFonts w:hint="eastAsia" w:ascii="宋体" w:hAnsi="宋体" w:cs="宋体"/>
                <w:color w:val="auto"/>
                <w:sz w:val="24"/>
                <w:szCs w:val="24"/>
                <w:highlight w:val="none"/>
              </w:rPr>
              <w:t xml:space="preserve">控</w:t>
            </w:r>
            <w:r>
              <w:rPr>
                <w:rFonts w:hint="eastAsia" w:ascii="宋体" w:hAnsi="宋体" w:cs="宋体"/>
                <w:color w:val="auto"/>
                <w:sz w:val="24"/>
                <w:szCs w:val="24"/>
                <w:highlight w:val="none"/>
                <w:lang w:eastAsia="zh-CN"/>
              </w:rPr>
              <w:t xml:space="preserve">室</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24小时，三班制各</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个</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ind w:left="-120" w:right="-120"/>
              <w:jc w:val="center"/>
              <w:keepLines w:val="0"/>
              <w:keepNext w:val="0"/>
              <w:pageBreakBefore w:val="0"/>
              <w:spacing w:line="3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微型消防站</w:t>
            </w:r>
            <w:r/>
          </w:p>
          <w:p>
            <w:pPr>
              <w:ind w:left="-120" w:right="-120"/>
              <w:jc w:val="left"/>
              <w:keepLines w:val="0"/>
              <w:keepNext w:val="0"/>
              <w:pageBreakBefore w:val="0"/>
              <w:spacing w:line="340" w:lineRule="exact"/>
              <w:widowControl w:val="off"/>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消防、治安</w:t>
            </w:r>
            <w:r>
              <w:rPr>
                <w:rFonts w:hint="eastAsia" w:ascii="宋体" w:hAnsi="宋体" w:cs="宋体"/>
                <w:color w:val="auto"/>
                <w:sz w:val="24"/>
                <w:szCs w:val="24"/>
                <w:highlight w:val="none"/>
                <w:lang w:eastAsia="zh-CN"/>
              </w:rPr>
              <w:t xml:space="preserve">、交通</w:t>
            </w:r>
            <w:r>
              <w:rPr>
                <w:rFonts w:hint="eastAsia" w:ascii="宋体" w:hAnsi="宋体" w:cs="宋体"/>
                <w:color w:val="auto"/>
                <w:sz w:val="24"/>
                <w:szCs w:val="24"/>
                <w:highlight w:val="none"/>
              </w:rPr>
              <w:t xml:space="preserve">巡查</w:t>
            </w:r>
            <w:r>
              <w:rPr>
                <w:rFonts w:hint="eastAsia" w:ascii="宋体" w:hAnsi="宋体" w:cs="宋体"/>
                <w:color w:val="auto"/>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24小时，三班制各</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个</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院内非机动车管理</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常</w:t>
            </w:r>
            <w:r>
              <w:rPr>
                <w:rFonts w:hint="eastAsia" w:ascii="宋体" w:hAnsi="宋体" w:cs="宋体"/>
                <w:color w:val="auto"/>
                <w:sz w:val="24"/>
                <w:szCs w:val="24"/>
                <w:highlight w:val="none"/>
              </w:rPr>
              <w:t xml:space="preserve">白班1个</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感染科区域</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早、中</w:t>
            </w:r>
            <w:r>
              <w:rPr>
                <w:rFonts w:hint="eastAsia" w:ascii="宋体" w:hAnsi="宋体" w:cs="宋体"/>
                <w:color w:val="auto"/>
                <w:sz w:val="24"/>
                <w:szCs w:val="24"/>
                <w:highlight w:val="none"/>
              </w:rPr>
              <w:t xml:space="preserve">班各1个</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分队长</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分队管理</w:t>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color w:val="auto"/>
                <w:sz w:val="24"/>
                <w:szCs w:val="24"/>
                <w:highlight w:val="none"/>
              </w:rPr>
              <w:t xml:space="preserve">小计</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14+3</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val="en-US" w:eastAsia="zh-CN" w:bidi="ar-SA"/>
              </w:rPr>
            </w:pPr>
            <w:r>
              <w:rPr>
                <w:rFonts w:hint="eastAsia" w:ascii="宋体" w:hAnsi="宋体" w:eastAsia="仿宋_GB2312" w:cs="宋体"/>
                <w:color w:val="auto"/>
                <w:sz w:val="24"/>
                <w:szCs w:val="24"/>
                <w:highlight w:val="none"/>
                <w:lang w:val="en-US" w:eastAsia="zh-CN" w:bidi="ar-SA"/>
              </w:rPr>
            </w:r>
            <w:r/>
          </w:p>
        </w:tc>
      </w:tr>
      <w:tr>
        <w:trPr>
          <w:trHeight w:val="252"/>
        </w:trPr>
        <w:tc>
          <w:tcPr>
            <w:shd w:val="clear" w:color="auto" w:fill="auto"/>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35" w:type="dxa"/>
            <w:vAlign w:val="center"/>
            <w:textDirection w:val="lrTb"/>
            <w:noWrap w:val="false"/>
          </w:tcPr>
          <w:p>
            <w:pPr>
              <w:jc w:val="center"/>
              <w:keepLines w:val="0"/>
              <w:keepNext w:val="0"/>
              <w:pageBreakBefore w:val="0"/>
              <w:spacing w:line="340" w:lineRule="exact"/>
              <w:rPr>
                <w:rFonts w:hint="eastAsia" w:ascii="宋体" w:hAnsi="宋体" w:eastAsia="仿宋_GB2312" w:cs="宋体"/>
                <w:color w:val="auto"/>
                <w:sz w:val="24"/>
                <w:szCs w:val="24"/>
                <w:highlight w:val="none"/>
                <w:lang w:eastAsia="zh-CN"/>
              </w:rPr>
            </w:pPr>
            <w:r>
              <w:rPr>
                <w:rFonts w:hint="eastAsia" w:ascii="宋体" w:hAnsi="宋体" w:cs="宋体"/>
                <w:color w:val="auto"/>
                <w:sz w:val="24"/>
                <w:szCs w:val="24"/>
                <w:highlight w:val="none"/>
                <w:lang w:eastAsia="zh-CN"/>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pageBreakBefore w:val="0"/>
              <w:spacing w:line="340" w:lineRule="exact"/>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76</w:t>
            </w:r>
            <w:r/>
          </w:p>
        </w:tc>
        <w:tc>
          <w:tcPr>
            <w:shd w:val="clear" w:color="auto" w:fill="auto"/>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keepLines w:val="0"/>
              <w:keepNext w:val="0"/>
              <w:pageBreakBefore w:val="0"/>
              <w:spacing w:line="340" w:lineRule="exact"/>
              <w:rPr>
                <w:rFonts w:ascii="宋体" w:hAnsi="宋体" w:cs="宋体" w:eastAsiaTheme="minorEastAsia"/>
                <w:color w:val="auto"/>
                <w:sz w:val="24"/>
                <w:szCs w:val="24"/>
                <w:highlight w:val="none"/>
                <w:lang w:val="en-US" w:eastAsia="zh-CN" w:bidi="ar-SA"/>
              </w:rPr>
            </w:pPr>
            <w:r>
              <w:rPr>
                <w:rFonts w:ascii="宋体" w:hAnsi="宋体" w:cs="宋体" w:eastAsiaTheme="minorEastAsia"/>
                <w:color w:val="auto"/>
                <w:sz w:val="24"/>
                <w:szCs w:val="24"/>
                <w:highlight w:val="none"/>
                <w:lang w:val="en-US" w:eastAsia="zh-CN" w:bidi="ar-SA"/>
              </w:rPr>
            </w:r>
            <w:r/>
          </w:p>
        </w:tc>
      </w:tr>
      <w:tr>
        <w:trPr>
          <w:trHeight w:val="132"/>
        </w:trPr>
        <w:tc>
          <w:tcPr>
            <w:gridSpan w:val="4"/>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left"/>
              <w:keepLines w:val="0"/>
              <w:keepNext w:val="0"/>
              <w:pageBreakBefore w:val="0"/>
              <w:spacing w:line="3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根据医院安保工作需要，派遣编制岗位人员应服从采购方岗位调整。</w:t>
            </w:r>
            <w:r>
              <w:rPr>
                <w:rFonts w:hint="eastAsia" w:ascii="宋体" w:hAnsi="宋体" w:cs="宋体"/>
                <w:color w:val="auto"/>
                <w:sz w:val="24"/>
                <w:szCs w:val="24"/>
                <w:highlight w:val="none"/>
                <w:lang w:eastAsia="zh-CN"/>
              </w:rPr>
              <w:t xml:space="preserve">每岗每天</w:t>
            </w:r>
            <w:r>
              <w:rPr>
                <w:rFonts w:hint="eastAsia" w:ascii="宋体" w:hAnsi="宋体" w:cs="宋体"/>
                <w:color w:val="auto"/>
                <w:sz w:val="24"/>
                <w:szCs w:val="24"/>
                <w:highlight w:val="none"/>
                <w:lang w:val="en-US" w:eastAsia="zh-CN"/>
              </w:rPr>
              <w:t xml:space="preserve">8小时。</w:t>
            </w:r>
            <w:r/>
          </w:p>
          <w:p>
            <w:pPr>
              <w:jc w:val="left"/>
              <w:keepLines w:val="0"/>
              <w:keepNext w:val="0"/>
              <w:pageBreakBefore w:val="0"/>
              <w:spacing w:line="3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乙方正式上岗前须向甲方完整提交：人员花名册、身份证、对应岗位资格证书、有效期证明、在岗承诺等全套佐证材料，经甲方审核通过后方可上岗履职。甲方有权随时对在岗人员证书有效性、人证一致性进行抽查核验。</w:t>
            </w:r>
            <w:r/>
          </w:p>
          <w:p>
            <w:pPr>
              <w:jc w:val="left"/>
              <w:keepLines w:val="0"/>
              <w:keepNext w:val="0"/>
              <w:pageBreakBefore w:val="0"/>
              <w:spacing w:line="340" w:lineRule="exact"/>
              <w:rPr>
                <w:rFonts w:hint="default" w:ascii="仿宋_GB2312" w:hAnsi="仿宋_GB2312" w:eastAsia="仿宋_GB2312" w:cs="仿宋_GB2312"/>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3.签订合同前，所有人员按需配备到位且具备相应的岗位操作证书（如：保安员必须持有公安机关核发的《保安员证》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从事医院消控室值班岗位的保安员必须持有消防设施操作员</w:t>
            </w:r>
            <w:r>
              <w:rPr>
                <w:rFonts w:hint="eastAsia" w:ascii="宋体" w:hAnsi="宋体" w:cs="宋体"/>
                <w:color w:val="auto"/>
                <w:sz w:val="24"/>
                <w:szCs w:val="24"/>
                <w:highlight w:val="none"/>
                <w:lang w:eastAsia="zh-CN"/>
              </w:rPr>
              <w:t xml:space="preserve">证）</w:t>
            </w:r>
            <w:r/>
          </w:p>
        </w:tc>
      </w:tr>
    </w:tbl>
    <w:p>
      <w:pPr>
        <w:numPr>
          <w:ilvl w:val="0"/>
          <w:numId w:val="0"/>
        </w:numPr>
        <w:jc w:val="center"/>
        <w:keepLines w:val="0"/>
        <w:keepNext w:val="0"/>
        <w:pageBreakBefore w:val="0"/>
        <w:spacing w:line="500" w:lineRule="exact"/>
        <w:widowControl w:val="off"/>
        <w:rPr>
          <w:rFonts w:hint="eastAsia"/>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 xml:space="preserve">泰兴市人民医院保安服务考评细则评分表</w:t>
      </w:r>
      <w:r/>
    </w:p>
    <w:tbl>
      <w:tblPr>
        <w:tblStyle w:val="638"/>
        <w:tblW w:w="8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914"/>
        <w:gridCol w:w="675"/>
        <w:gridCol w:w="660"/>
      </w:tblGrid>
      <w:tr>
        <w:trPr>
          <w:jc w:val="center"/>
          <w:trHeight w:val="425"/>
        </w:trPr>
        <w:tc>
          <w:tcPr>
            <w:tcW w:w="709" w:type="dxa"/>
            <w:vAlign w:val="top"/>
            <w:textDirection w:val="lrTb"/>
            <w:noWrap w:val="false"/>
          </w:tcPr>
          <w:p>
            <w:pPr>
              <w:jc w:val="cente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考评项目</w:t>
            </w:r>
            <w:r/>
          </w:p>
        </w:tc>
        <w:tc>
          <w:tcPr>
            <w:tcW w:w="6914" w:type="dxa"/>
            <w:vAlign w:val="top"/>
            <w:textDirection w:val="lrTb"/>
            <w:noWrap w:val="false"/>
          </w:tcPr>
          <w:p>
            <w:pPr>
              <w:jc w:val="cente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考评内容</w:t>
            </w:r>
            <w:r/>
          </w:p>
        </w:tc>
        <w:tc>
          <w:tcPr>
            <w:tcW w:w="675" w:type="dxa"/>
            <w:vAlign w:val="top"/>
            <w:textDirection w:val="lrTb"/>
            <w:noWrap w:val="false"/>
          </w:tcPr>
          <w:p>
            <w:pPr>
              <w:ind w:left="-120" w:right="-120"/>
              <w:jc w:val="cente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660" w:type="dxa"/>
            <w:vAlign w:val="top"/>
            <w:textDirection w:val="lrTb"/>
            <w:noWrap w:val="false"/>
          </w:tcPr>
          <w:p>
            <w:pPr>
              <w:ind w:left="-120" w:right="-120"/>
              <w:jc w:val="cente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491"/>
        </w:trPr>
        <w:tc>
          <w:tcPr>
            <w:tcW w:w="709" w:type="dxa"/>
            <w:vAlign w:val="top"/>
            <w:vMerge w:val="restart"/>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纪</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律</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1-1、上岗执勤时迟到或早退，30分钟内每分钟扣1分，超过30分钟视为旷工。</w:t>
            </w:r>
            <w:r/>
          </w:p>
        </w:tc>
        <w:tc>
          <w:tcPr>
            <w:tcW w:w="675"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W w:w="660"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3"/>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1-2、私自换班或换岗、不按规定交接班</w:t>
            </w:r>
            <w:r>
              <w:rPr>
                <w:rFonts w:hint="eastAsia" w:ascii="宋体" w:hAnsi="宋体" w:eastAsia="宋体" w:cs="宋体"/>
                <w:color w:val="auto"/>
                <w:sz w:val="24"/>
                <w:szCs w:val="24"/>
                <w:highlight w:val="none"/>
                <w:lang w:eastAsia="zh-CN"/>
              </w:rPr>
              <w:t xml:space="preserve">（未及时填写交接班记录）</w:t>
            </w:r>
            <w:r>
              <w:rPr>
                <w:rFonts w:hint="eastAsia" w:ascii="宋体" w:hAnsi="宋体" w:eastAsia="宋体" w:cs="宋体"/>
                <w:color w:val="auto"/>
                <w:sz w:val="24"/>
                <w:szCs w:val="24"/>
                <w:highlight w:val="none"/>
              </w:rPr>
              <w:t xml:space="preserve">或未经上级领导同意者一次扣20分。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0"/>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1-3、工作期间未经请假，外出30分钟内每分钟扣1分，30分钟以上视为旷工。情节严重者可酌情加重处罚或直接辞退或调换处理。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2"/>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1-4、执勤时擅离职守，睡觉、脱岗、聚岗、做与工作无关的事等现象视情扣20-30分，情节严重者可酌情加重处罚。</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2"/>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1-5、当值期间酒后上岗初次扣50分，第二次予以辞退或调换；醉酒上岗及岗上饮酒的予以</w:t>
            </w:r>
            <w:r>
              <w:rPr>
                <w:rFonts w:hint="eastAsia" w:ascii="宋体" w:hAnsi="宋体" w:eastAsia="宋体" w:cs="宋体"/>
                <w:color w:val="auto"/>
                <w:sz w:val="24"/>
                <w:szCs w:val="24"/>
                <w:highlight w:val="none"/>
                <w:lang w:eastAsia="zh-CN"/>
              </w:rPr>
              <w:t xml:space="preserve">直接</w:t>
            </w:r>
            <w:r>
              <w:rPr>
                <w:rFonts w:hint="eastAsia" w:ascii="宋体" w:hAnsi="宋体" w:eastAsia="宋体" w:cs="宋体"/>
                <w:color w:val="auto"/>
                <w:sz w:val="24"/>
                <w:szCs w:val="24"/>
                <w:highlight w:val="none"/>
              </w:rPr>
              <w:t xml:space="preserve">辞退或调换。</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9"/>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1-6、利用工作之便“吃拿卡要”的，一次扣30分，情节严重者予以辞退或调换。</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0"/>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1-7无故不参加医院组织的工作会议、集体活动、学习培训一次扣30分。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2"/>
        </w:trPr>
        <w:tc>
          <w:tcPr>
            <w:tcW w:w="709" w:type="dxa"/>
            <w:vAlign w:val="top"/>
            <w:vMerge w:val="restart"/>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德</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和</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务</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范</w:t>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2-1、搬弄是非、造谣生事、破坏团结、不讲诚信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辱骂、训斥、挑衅、指责、</w:t>
            </w:r>
            <w:r>
              <w:rPr>
                <w:rFonts w:hint="eastAsia" w:ascii="宋体" w:hAnsi="宋体" w:eastAsia="宋体" w:cs="宋体"/>
                <w:color w:val="auto"/>
                <w:sz w:val="24"/>
                <w:szCs w:val="24"/>
                <w:highlight w:val="none"/>
                <w:lang w:eastAsia="zh-CN"/>
              </w:rPr>
              <w:t xml:space="preserve">怒</w:t>
            </w:r>
            <w:r>
              <w:rPr>
                <w:rFonts w:hint="eastAsia" w:ascii="宋体" w:hAnsi="宋体" w:eastAsia="宋体" w:cs="宋体"/>
                <w:color w:val="auto"/>
                <w:sz w:val="24"/>
                <w:szCs w:val="24"/>
                <w:highlight w:val="none"/>
              </w:rPr>
              <w:t xml:space="preserve">吼服务对象等违反社会公德和职业道德的言行，视情一次扣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0分，造成严重后果的予以辞退或调换。</w:t>
            </w:r>
            <w:r/>
          </w:p>
        </w:tc>
        <w:tc>
          <w:tcPr>
            <w:tcW w:w="675"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W w:w="660"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5"/>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2-2、当班时发现问题隐瞒、虚报、做假者，发现一次扣30分，情节严重者予以辞退或调换。</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1"/>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2-3、未经同意，擅自挪用、侵占医院财物的，发现一次扣</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0分，情节严重者予以辞退。</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2"/>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2-4、当班期间语言、态度、行为举止不文明礼貌；值班场所卫生不整洁等损坏医院形象的视情每次扣5-20分；群众投诉并查实有效，一次扣</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0分，并</w:t>
            </w:r>
            <w:r>
              <w:rPr>
                <w:rFonts w:hint="eastAsia" w:ascii="宋体" w:hAnsi="宋体" w:eastAsia="宋体" w:cs="宋体"/>
                <w:color w:val="auto"/>
                <w:sz w:val="24"/>
                <w:szCs w:val="24"/>
                <w:highlight w:val="none"/>
                <w:lang w:val="en-US" w:eastAsia="zh-CN"/>
              </w:rPr>
              <w:t xml:space="preserve">考核经费100元，</w:t>
            </w:r>
            <w:r>
              <w:rPr>
                <w:rFonts w:hint="eastAsia" w:ascii="宋体" w:hAnsi="宋体" w:eastAsia="宋体" w:cs="宋体"/>
                <w:color w:val="auto"/>
                <w:sz w:val="24"/>
                <w:szCs w:val="24"/>
                <w:highlight w:val="none"/>
              </w:rPr>
              <w:t xml:space="preserve">由保安公司</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rPr>
              <w:t xml:space="preserve">。</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7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2-5、当班期间不遵守保安纪律，工作散漫，不服从上级合理工作安排，对上级要求整改之事无动于衷者，视情节扣20-40分。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2-6、执勤期间仪表、仪容、着装不整；未着全国保安服务行业协会推荐式样的保安服装，未佩戴全国统一的保安服务标志；相关通讯、防护器材不按工作规定佩戴。视情每次扣10-20分。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3"/>
        </w:trPr>
        <w:tc>
          <w:tcPr>
            <w:tcW w:w="709"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位</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3-1、知晓自己的岗位职责及相关的管理制度，不知晓或知晓不全面者，查处一次视情扣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0分。</w:t>
            </w:r>
            <w:r/>
          </w:p>
        </w:tc>
        <w:tc>
          <w:tcPr>
            <w:tcW w:w="675"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w:t>
            </w:r>
            <w:r/>
          </w:p>
        </w:tc>
        <w:tc>
          <w:tcPr>
            <w:tcW w:w="660"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5"/>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3-2、查验出入医院人员的证件，登记出入的物品和车辆，负责院区内治安巡逻、院内交通，守护、检查、报警监控等工作。不按时完成自己职责范围内的工作，视情一次扣30-50分。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8"/>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3-3、不按医院规章制度进行巡查的，或巡查不仔细未能及时发现可见隐患；在执勤岗位未履行消防控烟的；视情每次扣10-50分，导致损失较大，影响恶劣的视情</w:t>
            </w:r>
            <w:r>
              <w:rPr>
                <w:rFonts w:hint="eastAsia" w:ascii="宋体" w:hAnsi="宋体" w:eastAsia="宋体" w:cs="宋体"/>
                <w:color w:val="auto"/>
                <w:sz w:val="24"/>
                <w:szCs w:val="24"/>
                <w:highlight w:val="none"/>
                <w:lang w:val="en-US" w:eastAsia="zh-CN"/>
              </w:rPr>
              <w:t xml:space="preserve">依法依规</w:t>
            </w:r>
            <w:r>
              <w:rPr>
                <w:rFonts w:hint="eastAsia" w:ascii="宋体" w:hAnsi="宋体" w:eastAsia="宋体" w:cs="宋体"/>
                <w:color w:val="auto"/>
                <w:sz w:val="24"/>
                <w:szCs w:val="24"/>
                <w:highlight w:val="none"/>
              </w:rPr>
              <w:t xml:space="preserve">处理。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5"/>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3-3、未按消防监控中心相关管理制度及应急程序执勤，每违反制度内一条款扣20分。履职不力造成安全事故和不良影响的依法依规处理。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05"/>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3-4、安全、消防设施检查不到位，对公共安全、消防隐患未采取适当</w:t>
            </w:r>
            <w:r>
              <w:rPr>
                <w:rFonts w:hint="eastAsia" w:ascii="宋体" w:hAnsi="宋体" w:eastAsia="宋体" w:cs="宋体"/>
                <w:color w:val="auto"/>
                <w:sz w:val="24"/>
                <w:szCs w:val="24"/>
                <w:highlight w:val="none"/>
                <w:lang w:val="en-US" w:eastAsia="zh-CN"/>
              </w:rPr>
              <w:t xml:space="preserve">正确</w:t>
            </w:r>
            <w:r>
              <w:rPr>
                <w:rFonts w:hint="eastAsia" w:ascii="宋体" w:hAnsi="宋体" w:eastAsia="宋体" w:cs="宋体"/>
                <w:color w:val="auto"/>
                <w:sz w:val="24"/>
                <w:szCs w:val="24"/>
                <w:highlight w:val="none"/>
              </w:rPr>
              <w:t xml:space="preserve">措施整改，无力整改未能及时上报的，视情一次扣30-60分。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0"/>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3-5、不规范填写值班、巡逻记录或擅自删改有关记录的一次扣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46"/>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3-6、未按规定指挥车辆停放或停放禁止区域未及时管理，致使院内交通道路不畅。每次扣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0分。因未按规定履职导致院内车辆发生碰撞、失窃等事故纠纷由保安公司负责处理和赔偿。</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3-7、突发事件处置或紧急情况没有及时采取有效措施并上报的一次视情扣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0分，造成严重后果的予以辞退或调换。</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3-8、巡查区域物品失窃，执勤人员巡查时未能及时发现的，视情一次扣20-50分。保安员未按规定执勤履职造成他人人身伤亡、财物损失由保安公司负责赔付。</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61"/>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3-9、工作交接不清楚造成工作失误的视情节扣30-50分。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3"/>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3-10、工作中侵犯他人隐私，泄漏医院涉密信息的，视情一次扣30-60分，造成严重后果的视情节依法依规处理。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1"/>
        </w:trPr>
        <w:tc>
          <w:tcPr>
            <w:tcW w:w="709" w:type="dxa"/>
            <w:vAlign w:val="top"/>
            <w:vMerge w:val="continue"/>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3-11、保安员业务考核不合格二次以上者予以退换。</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1"/>
        </w:trPr>
        <w:tc>
          <w:tcPr>
            <w:tcW w:w="709" w:type="dxa"/>
            <w:vAlign w:val="top"/>
            <w:vMerge w:val="continue"/>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14"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3-12、负责妥善处理完结保安服务相关投诉。30分</w:t>
            </w:r>
            <w:r/>
          </w:p>
        </w:tc>
        <w:tc>
          <w:tcPr>
            <w:tcW w:w="675"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6"/>
        </w:trPr>
        <w:tc>
          <w:tcPr>
            <w:tcW w:w="709" w:type="dxa"/>
            <w:vAlign w:val="top"/>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奖</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励</w:t>
            </w:r>
            <w:r/>
          </w:p>
        </w:tc>
        <w:tc>
          <w:tcPr>
            <w:gridSpan w:val="2"/>
            <w:tcW w:w="7589"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4-1、因工作出色受到上级表彰或群众表扬的，如：书面感谢信、赠送锦旗等，视情一次奖励50-100元。</w:t>
            </w:r>
            <w:r/>
          </w:p>
        </w:tc>
        <w:tc>
          <w:tcPr>
            <w:tcW w:w="660"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9"/>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4-2、当班期间，发现并抓获各类违法犯罪分子者；为公安机关提供线索，破获特大刑事、重大案件者；视情一次奖励100-500元。</w:t>
            </w:r>
            <w:r/>
          </w:p>
        </w:tc>
        <w:tc>
          <w:tcPr>
            <w:tcW w:w="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4-3、见义勇为，敢于同坏人坏事作斗争事迹突出者，视情一次奖励100-200元。获市级以上“见义勇为”奖者，视情奖励500-1000元。</w:t>
            </w:r>
            <w:r/>
          </w:p>
        </w:tc>
        <w:tc>
          <w:tcPr>
            <w:tcW w:w="660"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4-4、及时发现并快速有效处置火情，保护医院生命财产安全的，视情一次奖励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00元。</w:t>
            </w:r>
            <w:r/>
          </w:p>
        </w:tc>
        <w:tc>
          <w:tcPr>
            <w:tcW w:w="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ind w:left="-120" w:right="-12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4-5、在执勤中，为维护医务人员及他人的合法权利，受到他人侮辱、殴打等攻击伤害的，视情予以奖励</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00元。事迹非常突出者视情加大奖励力度。</w:t>
            </w:r>
            <w:r/>
          </w:p>
        </w:tc>
        <w:tc>
          <w:tcPr>
            <w:tcW w:w="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5"/>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4-6、拾金不昧者，上缴医院行风部门的，奖励50元。</w:t>
            </w:r>
            <w:r/>
          </w:p>
        </w:tc>
        <w:tc>
          <w:tcPr>
            <w:tcW w:w="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4"/>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4-7、当班期间，发现事故隐患，采取积极有效措施，避免重大事故发生，视情一次奖励100-500元。</w:t>
            </w:r>
            <w:r/>
          </w:p>
        </w:tc>
        <w:tc>
          <w:tcPr>
            <w:tcW w:w="660"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5"/>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4-8、完成本职工作时能积极配合其他部门开展工作，并取得显著成绩者，视情一次奖励50-100元。</w:t>
            </w:r>
            <w:r/>
          </w:p>
        </w:tc>
        <w:tc>
          <w:tcPr>
            <w:tcW w:w="660"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1"/>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4-9、在医院组织的体育、文艺等竞赛中取得名次的，按医院的奖励标准执行。</w:t>
            </w:r>
            <w:r/>
          </w:p>
        </w:tc>
        <w:tc>
          <w:tcPr>
            <w:tcW w:w="660"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9"/>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4-10、为医院安保工作提出好的建议并被采纳的视情奖励50-200元。</w:t>
            </w:r>
            <w:r/>
          </w:p>
        </w:tc>
        <w:tc>
          <w:tcPr>
            <w:tcW w:w="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63"/>
        </w:trPr>
        <w:tc>
          <w:tcPr>
            <w:tcW w:w="709" w:type="dxa"/>
            <w:vAlign w:val="top"/>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4-11、有其他突出贡献的，视情况予以适当奖励。</w:t>
            </w:r>
            <w:r/>
          </w:p>
        </w:tc>
        <w:tc>
          <w:tcPr>
            <w:tcW w:w="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4"/>
        </w:trPr>
        <w:tc>
          <w:tcPr>
            <w:tcW w:w="7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w:t>
            </w:r>
            <w:r/>
          </w:p>
          <w:p>
            <w:pPr>
              <w:jc w:val="cente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明</w:t>
            </w:r>
            <w:r/>
          </w:p>
        </w:tc>
        <w:tc>
          <w:tcPr>
            <w:gridSpan w:val="2"/>
            <w:tcW w:w="758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5-1、本考评细则采用上述千分制考核扣分和经济奖励的方法考评。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5-2、考评办法采用职能科室督查、院部检查、资料抽查、组织考试、群众监督、综合满意度调查、视频监控查阅等多种方式按照考评细则考核。</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考评计分采用月度专项检查与日常抽查相结合的方式综合计分，综合计分达到850分以上为：队伍管理、人员履职考评合格，医院不予经费考核，但保安公司要查处扣分原因并予以整改，对扣分当事人予以教育帮助和考核，并评选出月度“最佳保安员”予以奖励；考评计分800-850分为：队伍管理、人员履职不到位，但尚未发生重大案件事故，视情给予劳务费考核1000-1500元并限期整改；考评计分800分以下为：保安公司对存在的治安隐患拒不整改，队伍管理混乱，保安员未能按合同履职，考评为不合格，医院有权依法解除合同。</w:t>
            </w:r>
            <w:r/>
          </w:p>
        </w:tc>
        <w:tc>
          <w:tcPr>
            <w:tcW w:w="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59"/>
        <w:numPr>
          <w:ilvl w:val="-1"/>
          <w:numId w:val="0"/>
        </w:numPr>
        <w:ind w:firstLine="0"/>
        <w:keepLines w:val="0"/>
        <w:keepNext w:val="0"/>
        <w:pageBreakBefore w:val="0"/>
        <w:spacing w:line="500" w:lineRule="exact"/>
        <w:rPr>
          <w:rFonts w:hint="eastAsia" w:ascii="宋体" w:hAnsi="宋体" w:eastAsia="宋体" w:cs="宋体"/>
          <w:color w:val="auto"/>
          <w:sz w:val="24"/>
          <w:szCs w:val="24"/>
          <w:highlight w:val="none"/>
          <w:lang w:val="en-US" w:eastAsia="zh-CN"/>
        </w:rPr>
        <w:sectPr>
          <w:footnotePr/>
          <w:endnotePr/>
          <w:type w:val="nextPage"/>
          <w:pgSz w:w="11906" w:h="16838" w:orient="portrait"/>
          <w:pgMar w:top="1213" w:right="1558" w:bottom="1157" w:left="1701"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color w:val="auto"/>
          <w:highlight w:val="none"/>
        </w:rPr>
        <w:outlineLvl w:val="0"/>
      </w:pPr>
      <w:r/>
      <w:bookmarkStart w:id="564" w:name="_Toc20158"/>
      <w:r>
        <w:rPr>
          <w:rFonts w:hint="eastAsia" w:ascii="宋体" w:hAnsi="宋体" w:eastAsia="宋体" w:cs="宋体"/>
          <w:color w:val="auto"/>
          <w:sz w:val="32"/>
          <w:szCs w:val="32"/>
          <w:highlight w:val="none"/>
        </w:rPr>
        <w:t xml:space="preserve">第六章</w:t>
      </w:r>
      <w:r>
        <w:rPr>
          <w:rFonts w:hint="eastAsia" w:ascii="宋体" w:hAnsi="宋体" w:eastAsia="宋体" w:cs="宋体"/>
          <w:color w:val="auto"/>
          <w:sz w:val="44"/>
          <w:szCs w:val="44"/>
          <w:highlight w:val="none"/>
        </w:rPr>
        <w:t xml:space="preserve"> </w:t>
      </w:r>
      <w:r>
        <w:rPr>
          <w:rFonts w:hint="eastAsia" w:ascii="宋体" w:hAnsi="宋体" w:eastAsia="宋体" w:cs="宋体"/>
          <w:b/>
          <w:color w:val="auto"/>
          <w:sz w:val="32"/>
          <w:szCs w:val="32"/>
          <w:highlight w:val="none"/>
        </w:rPr>
        <w:t xml:space="preserve">投标文件的编制要求及参考格式</w:t>
      </w:r>
      <w:bookmarkEnd w:id="564"/>
      <w:r>
        <w:rPr>
          <w:rFonts w:hint="eastAsia" w:ascii="宋体" w:hAnsi="宋体" w:eastAsia="宋体" w:cs="宋体"/>
          <w:b/>
          <w:color w:val="auto"/>
          <w:highlight w:val="none"/>
        </w:rPr>
        <w:t xml:space="preserve"> </w:t>
      </w:r>
      <w:bookmarkStart w:id="565" w:name="_Hlt26671244"/>
      <w:r/>
      <w:bookmarkEnd w:id="565"/>
      <w:r/>
      <w:bookmarkStart w:id="566" w:name="_Hlt26955039"/>
      <w:r/>
      <w:bookmarkEnd w:id="566"/>
      <w:r/>
      <w:bookmarkStart w:id="567" w:name="_Toc288030359"/>
      <w:r/>
      <w:bookmarkStart w:id="568" w:name="_Toc49090576"/>
      <w:r/>
      <w:bookmarkStart w:id="569" w:name="_Toc120614282"/>
      <w:r/>
      <w:bookmarkStart w:id="570" w:name="_Toc282446331"/>
      <w:r/>
      <w:bookmarkStart w:id="571" w:name="_Toc26554094"/>
      <w:r/>
      <w:r/>
    </w:p>
    <w:p>
      <w:pPr>
        <w:pStyle w:val="655"/>
        <w:ind w:left="646" w:firstLine="0"/>
        <w:jc w:val="center"/>
        <w:spacing w:line="3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highlight w:val="none"/>
        </w:rPr>
        <w:outlineLvl w:val="1"/>
      </w:pPr>
      <w:r/>
      <w:bookmarkStart w:id="572" w:name="_Toc26281"/>
      <w:r/>
      <w:bookmarkStart w:id="573" w:name="_Toc426469932"/>
      <w:r/>
      <w:bookmarkStart w:id="574" w:name="_Toc4851"/>
      <w:r>
        <w:rPr>
          <w:rFonts w:hint="eastAsia" w:ascii="宋体" w:hAnsi="宋体" w:eastAsia="宋体" w:cs="宋体"/>
          <w:color w:val="auto"/>
          <w:highlight w:val="none"/>
        </w:rPr>
        <w:t xml:space="preserve">1.投标文件的组成</w:t>
      </w:r>
      <w:bookmarkEnd w:id="572"/>
      <w:r/>
      <w:bookmarkEnd w:id="573"/>
      <w:r/>
      <w:bookmarkEnd w:id="574"/>
      <w:r/>
      <w:r/>
    </w:p>
    <w:p>
      <w:pPr>
        <w:ind w:firstLine="480"/>
        <w:spacing w:line="500" w:lineRule="exact"/>
        <w:rPr>
          <w:rFonts w:hint="eastAsia" w:ascii="宋体" w:hAnsi="宋体" w:eastAsia="宋体" w:cs="宋体"/>
          <w:color w:val="auto"/>
          <w:highlight w:val="none"/>
        </w:rPr>
      </w:pPr>
      <w:r/>
      <w:bookmarkStart w:id="575" w:name="_Toc426469933"/>
      <w:r>
        <w:rPr>
          <w:rFonts w:hint="eastAsia" w:ascii="宋体" w:hAnsi="宋体" w:eastAsia="宋体" w:cs="宋体"/>
          <w:color w:val="auto"/>
          <w:highlight w:val="none"/>
        </w:rPr>
        <w:t xml:space="preserve">见本招标文件第二章3.1条。</w:t>
      </w:r>
      <w:r/>
    </w:p>
    <w:p>
      <w:pPr>
        <w:spacing w:line="500" w:lineRule="exact"/>
        <w:rPr>
          <w:rFonts w:hint="eastAsia" w:ascii="宋体" w:hAnsi="宋体" w:eastAsia="宋体" w:cs="宋体"/>
          <w:color w:val="auto"/>
          <w:highlight w:val="none"/>
        </w:rPr>
        <w:outlineLvl w:val="1"/>
      </w:pPr>
      <w:r/>
      <w:bookmarkStart w:id="576" w:name="_Toc10906"/>
      <w:r/>
      <w:bookmarkStart w:id="577" w:name="_Toc28953"/>
      <w:r>
        <w:rPr>
          <w:rFonts w:hint="eastAsia" w:ascii="宋体" w:hAnsi="宋体" w:eastAsia="宋体" w:cs="宋体"/>
          <w:color w:val="auto"/>
          <w:highlight w:val="none"/>
        </w:rPr>
        <w:t xml:space="preserve">2.投标文件的编制内容及编制要求</w:t>
      </w:r>
      <w:bookmarkEnd w:id="575"/>
      <w:r/>
      <w:bookmarkEnd w:id="576"/>
      <w:r/>
      <w:bookmarkEnd w:id="577"/>
      <w:r/>
      <w:r/>
    </w:p>
    <w:p>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2.1开标一览表</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 供应商应按表中格式完整、清晰、正确填写；</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2.1.2开标一览表中的价格应与投标文件中</w:t>
      </w:r>
      <w:bookmarkStart w:id="578" w:name="OLE_LINK8"/>
      <w:r>
        <w:rPr>
          <w:rFonts w:hint="eastAsia" w:ascii="宋体" w:hAnsi="宋体" w:eastAsia="宋体" w:cs="宋体"/>
          <w:color w:val="auto"/>
          <w:highlight w:val="none"/>
        </w:rPr>
        <w:t xml:space="preserve">投标报价明细表</w:t>
      </w:r>
      <w:bookmarkEnd w:id="578"/>
      <w:r>
        <w:rPr>
          <w:rFonts w:hint="eastAsia" w:ascii="宋体" w:hAnsi="宋体" w:cs="宋体"/>
          <w:color w:val="auto"/>
          <w:highlight w:val="none"/>
          <w:lang w:eastAsia="zh-CN"/>
        </w:rPr>
        <w:t xml:space="preserve">（如有）</w:t>
      </w:r>
      <w:r>
        <w:rPr>
          <w:rFonts w:hint="eastAsia" w:ascii="宋体" w:hAnsi="宋体" w:eastAsia="宋体" w:cs="宋体"/>
          <w:color w:val="auto"/>
          <w:highlight w:val="none"/>
        </w:rPr>
        <w:t xml:space="preserve">中的价格一致；</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2.1.3开标一览表格式见附件。</w:t>
      </w:r>
      <w:r/>
    </w:p>
    <w:p>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2.2 投标函</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2.2.1供应商应按表中规定格式完整、清晰、正确填写；</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2.2.2投标函必须</w:t>
      </w:r>
      <w:r>
        <w:rPr>
          <w:rFonts w:hint="eastAsia" w:ascii="宋体" w:hAnsi="宋体" w:eastAsia="宋体" w:cs="宋体"/>
          <w:color w:val="auto"/>
          <w:highlight w:val="none"/>
          <w:lang w:eastAsia="zh-CN"/>
        </w:rPr>
        <w:t xml:space="preserve">内容完整且</w:t>
      </w:r>
      <w:r>
        <w:rPr>
          <w:rFonts w:hint="eastAsia" w:ascii="宋体" w:hAnsi="宋体" w:eastAsia="宋体" w:cs="宋体"/>
          <w:color w:val="auto"/>
          <w:highlight w:val="none"/>
          <w:lang w:val="en-US" w:eastAsia="zh-CN"/>
        </w:rPr>
        <w:t xml:space="preserve">签章完备</w:t>
      </w:r>
      <w:r>
        <w:rPr>
          <w:rFonts w:hint="eastAsia" w:ascii="宋体" w:hAnsi="宋体" w:eastAsia="宋体" w:cs="宋体"/>
          <w:color w:val="auto"/>
          <w:highlight w:val="none"/>
        </w:rPr>
        <w:t xml:space="preserve">。</w:t>
      </w:r>
      <w:r/>
    </w:p>
    <w:p>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2.3资格条件证明文件</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（1）供应商基本资格条件承诺函；</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（2）招标文件要求的其他资格条件证明材料。</w:t>
      </w:r>
      <w:r/>
    </w:p>
    <w:p>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2.4投标偏离表</w:t>
      </w:r>
      <w:r/>
    </w:p>
    <w:p>
      <w:pPr>
        <w:ind w:firstLine="480"/>
        <w:spacing w:line="50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供应商应仔细阅读招标文件第五章采购需求，结合自身的实际情况，如实编制，格式自拟。</w:t>
      </w:r>
      <w:r/>
    </w:p>
    <w:p>
      <w:pPr>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2.5供应商认为应列入投标文件的其他材料</w:t>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供应商应对照第三章评标办法中的评审因素，结合自身的实际情况，如实编制，格式自拟。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ookmarkStart w:id="579" w:name="_Toc426469934"/>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r>
      <w:r>
        <w:rPr>
          <w:rFonts w:ascii="SimSun" w:hAnsi="SimSun" w:eastAsia="SimSun" w:cs="SimSun"/>
          <w:color w:val="000000"/>
          <w:sz w:val="32"/>
        </w:rPr>
        <w:t xml:space="preserve">3. 投标文件参考格式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3.1投标文件封面格式</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投标文件</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21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10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6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p>
    <w:p>
      <w:pPr>
        <w:ind w:left="0" w:right="0" w:firstLine="21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日期：______年____月____日</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 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2"/>
        </w:rPr>
        <w:t xml:space="preserve">开标一览表</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按“江苏省政府采购管理交易系统（苏采云）”中格式填写。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 投标函</w:t>
      </w:r>
      <w:r/>
    </w:p>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投标函</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r>
        <w:rPr>
          <w:rFonts w:ascii="SimSun" w:hAnsi="SimSun" w:eastAsia="SimSun" w:cs="SimSun"/>
          <w:color w:val="000000"/>
          <w:sz w:val="24"/>
        </w:rPr>
        <w:t xml:space="preserve"> </w:t>
      </w:r>
      <w:r/>
      <w:r>
        <w:rPr>
          <w:rFonts w:ascii="SimSun" w:hAnsi="SimSun" w:eastAsia="SimSun" w:cs="SimSun"/>
          <w:sz w:val="24"/>
        </w:rP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我方收到贵方编号       招标文件，经仔细阅读和研究，我方决定参加此项目的投标。</w:t>
      </w:r>
      <w:r/>
    </w:p>
    <w:p>
      <w:pPr>
        <w:ind w:left="0" w:right="0" w:firstLine="0"/>
        <w:jc w:val="both"/>
        <w:spacing w:before="0" w:after="0" w:line="480" w:lineRule="atLeast"/>
        <w:tabs>
          <w:tab w:val="left" w:pos="315" w:leader="none"/>
          <w:tab w:val="left" w:pos="841" w:leader="none"/>
          <w:tab w:val="left" w:pos="946" w:leader="none"/>
          <w:tab w:val="left" w:pos="1051" w:leader="none"/>
          <w:tab w:val="left" w:pos="12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1.我方愿意按照招标文件的一切要求，提供本项目的投标，投标总价见《开标一览表》。</w:t>
      </w:r>
      <w:r/>
    </w:p>
    <w:p>
      <w:pPr>
        <w:ind w:left="0" w:right="0" w:firstLine="0"/>
        <w:jc w:val="both"/>
        <w:spacing w:before="0" w:after="0" w:line="480" w:lineRule="atLeast"/>
        <w:tabs>
          <w:tab w:val="left" w:pos="315" w:leader="none"/>
          <w:tab w:val="left" w:pos="525" w:leader="none"/>
          <w:tab w:val="left" w:pos="841"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2.我方愿意提供采购人在招标文件中要求的文件、资料。</w:t>
      </w:r>
      <w:r/>
    </w:p>
    <w:p>
      <w:pPr>
        <w:ind w:left="0" w:right="0" w:firstLine="0"/>
        <w:jc w:val="both"/>
        <w:spacing w:before="0" w:after="0" w:line="480" w:lineRule="atLeast"/>
        <w:tabs>
          <w:tab w:val="left" w:pos="315" w:leader="none"/>
          <w:tab w:val="left" w:pos="525"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3.我方同意按招标文件中的规定，本投标文件投标的有效期限为开标之日起60天。</w:t>
      </w:r>
      <w:r/>
    </w:p>
    <w:p>
      <w:pPr>
        <w:ind w:left="0" w:right="0" w:firstLine="0"/>
        <w:jc w:val="both"/>
        <w:spacing w:before="0" w:after="0" w:line="480" w:lineRule="atLeast"/>
        <w:tabs>
          <w:tab w:val="left" w:pos="315" w:leader="none"/>
          <w:tab w:val="left" w:pos="525"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如果我方的投标文件被接受，我方将履行招标文件中规定的每一项要求，按期、按质、按量，完成交货任务。</w:t>
      </w:r>
      <w:r/>
    </w:p>
    <w:p>
      <w:pPr>
        <w:ind w:left="0" w:right="0" w:firstLine="0"/>
        <w:jc w:val="both"/>
        <w:spacing w:before="0" w:after="0" w:line="480" w:lineRule="atLeast"/>
        <w:tabs>
          <w:tab w:val="left" w:pos="315" w:leader="none"/>
          <w:tab w:val="left" w:pos="525"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4.我方认为贵中心有权决定中标者。</w:t>
      </w:r>
      <w:r/>
    </w:p>
    <w:p>
      <w:pPr>
        <w:ind w:left="0" w:right="0" w:firstLine="0"/>
        <w:jc w:val="both"/>
        <w:spacing w:before="0" w:after="0" w:line="480" w:lineRule="atLeast"/>
        <w:tabs>
          <w:tab w:val="left" w:pos="315" w:leader="none"/>
          <w:tab w:val="left" w:pos="525"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5.我方愿意遵守《中华人民共和国政府采购法》，并按《民法典》、财政部《政府采购货物和服务招标投标管理办法》和合同条款履行自己的全部责任。</w:t>
      </w:r>
      <w:r/>
    </w:p>
    <w:p>
      <w:pPr>
        <w:ind w:left="0" w:right="0" w:firstLine="0"/>
        <w:jc w:val="both"/>
        <w:spacing w:before="0" w:after="0" w:line="480" w:lineRule="atLeast"/>
        <w:tabs>
          <w:tab w:val="left" w:pos="315" w:leader="none"/>
          <w:tab w:val="left" w:pos="525"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6.我方认可并遵守招标文件的所有规定，放弃对招标文件提出质疑的权利。</w:t>
      </w:r>
      <w:r/>
    </w:p>
    <w:p>
      <w:pPr>
        <w:ind w:left="0" w:right="0" w:firstLine="0"/>
        <w:jc w:val="both"/>
        <w:spacing w:before="0" w:after="0" w:line="480" w:lineRule="atLeast"/>
        <w:tabs>
          <w:tab w:val="left" w:pos="315" w:leader="none"/>
          <w:tab w:val="left" w:pos="525"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方被确定为中标供应商，我方愿意在在合同签订前向采购人交纳不超过政府采购合同金额10%的履约保证金。且我方如无不可抗力，又未履行招标文件、投标文件和合同条款的，一经查实，我方愿意赔偿由此而造成的一切损失，并同意接受按招标文件的相关要求对我方进行的处理。</w:t>
      </w:r>
      <w:r/>
    </w:p>
    <w:p>
      <w:pPr>
        <w:ind w:left="0" w:right="0" w:firstLine="0"/>
        <w:jc w:val="both"/>
        <w:spacing w:before="0" w:after="0" w:line="480" w:lineRule="atLeast"/>
        <w:tabs>
          <w:tab w:val="left" w:pos="315" w:leader="none"/>
          <w:tab w:val="left" w:pos="525" w:leader="none"/>
          <w:tab w:val="left" w:pos="946" w:leader="none"/>
          <w:tab w:val="left" w:pos="10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left="0" w:right="0" w:firstLine="7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邮编：</w:t>
      </w:r>
      <w:r/>
      <w:r/>
      <w:r/>
      <w:r>
        <w:rPr>
          <w:rFonts w:ascii="SimSun" w:hAnsi="SimSun" w:eastAsia="SimSun" w:cs="SimSun"/>
          <w:sz w:val="24"/>
        </w:rPr>
      </w:r>
      <w:r>
        <w:rPr>
          <w:rFonts w:ascii="SimSun" w:hAnsi="SimSun" w:eastAsia="SimSun" w:cs="SimSun"/>
          <w:sz w:val="24"/>
        </w:rPr>
      </w:r>
      <w:r/>
      <w:r>
        <w:rPr>
          <w:rFonts w:ascii="SimSun" w:hAnsi="SimSun" w:eastAsia="SimSun" w:cs="SimSun"/>
          <w:sz w:val="24"/>
        </w:rPr>
      </w:r>
      <w:r>
        <w:rPr>
          <w:rFonts w:ascii="SimSun" w:hAnsi="SimSun" w:eastAsia="SimSun" w:cs="SimSun"/>
          <w:sz w:val="24"/>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3.4投标报价明细表格式</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投标报价明细表（本项目无需提供）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按“江苏省政府采购管理交易系统（苏采云）”中格式填写。</w:t>
        <w:br w:type="page" w:clear="all"/>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w:t>
      </w:r>
      <w:r>
        <w:rPr>
          <w:rFonts w:ascii="SimSun" w:hAnsi="SimSun" w:eastAsia="SimSun" w:cs="SimSun"/>
          <w:color w:val="000000"/>
          <w:sz w:val="24"/>
        </w:rPr>
        <w:t xml:space="preserve">供应商</w:t>
      </w:r>
      <w:r>
        <w:rPr>
          <w:rFonts w:ascii="SimSun" w:hAnsi="SimSun" w:eastAsia="SimSun" w:cs="SimSun"/>
          <w:b/>
          <w:color w:val="000000"/>
          <w:sz w:val="24"/>
        </w:rPr>
        <w:t xml:space="preserve">资格条件证明文件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供应商</w:t>
      </w:r>
      <w:r>
        <w:rPr>
          <w:rFonts w:ascii="SimSun" w:hAnsi="SimSun" w:eastAsia="SimSun" w:cs="SimSun"/>
          <w:b/>
          <w:color w:val="000000"/>
          <w:sz w:val="24"/>
        </w:rPr>
        <w:t xml:space="preserve">基本资格条件承诺函</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b/>
          <w:color w:val="000000"/>
          <w:sz w:val="24"/>
        </w:rPr>
        <w:t xml:space="preserve">基本资格条件承诺函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一、按照《政府采购法》第二十二条规定的供应商基本资格条件，我公司郑重承诺如下：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1.我公司具有</w:t>
      </w:r>
      <w:r>
        <w:rPr>
          <w:rFonts w:ascii="SimSun" w:hAnsi="SimSun" w:eastAsia="SimSun" w:cs="SimSun"/>
          <w:color w:val="000000"/>
          <w:sz w:val="24"/>
          <w:highlight w:val="white"/>
        </w:rPr>
        <w:t xml:space="preserve">良好的商业信誉和健全的财务制度；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2.我公司具有履行合同所必须的设备和专业技术能力；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3.我公司具有依法缴纳税收和社会保障资金的良好记录；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4.我公司参加政府采购活动前三年内，在经营活动中没有重大违法记录；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w:t>
      </w:r>
      <w:r>
        <w:rPr>
          <w:rFonts w:ascii="SimSun" w:hAnsi="SimSun" w:eastAsia="SimSun" w:cs="SimSun"/>
          <w:color w:val="000000"/>
          <w:sz w:val="24"/>
        </w:rPr>
        <w:t xml:space="preserve">我公司承诺：在本次投标过程中，我公司不存在本项目招标文件第二章第1.4.3条所列情形之一。</w:t>
      </w:r>
      <w:r/>
    </w:p>
    <w:p>
      <w:pPr>
        <w:ind w:left="0" w:right="0" w:firstLine="336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供应商名称(盖法人章)：</w:t>
      </w:r>
      <w:r/>
    </w:p>
    <w:p>
      <w:pPr>
        <w:ind w:left="0" w:right="0" w:firstLine="336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(签字或签章)：</w:t>
      </w:r>
      <w:r/>
    </w:p>
    <w:p>
      <w:pPr>
        <w:ind w:left="0" w:right="0" w:firstLine="336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（2）招标文件要求的其他资格条件及证明材料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1.具有有效的营业执照（附证书的复印件）；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2.中小企业声明函（参考格式附后）。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56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 号）的规定，本公司（联合体）参加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w:t>
      </w:r>
      <w:r>
        <w:rPr>
          <w:rFonts w:ascii="FangSong" w:hAnsi="FangSong" w:eastAsia="FangSong" w:cs="FangSong"/>
          <w:color w:val="000000"/>
          <w:sz w:val="28"/>
          <w:u w:val="single"/>
        </w:rPr>
        <w:t xml:space="preserve">（标的名称） </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（采购文件中明确的所属行业）</w:t>
      </w:r>
      <w:r>
        <w:rPr>
          <w:rFonts w:ascii="FangSong" w:hAnsi="FangSong" w:eastAsia="FangSong" w:cs="FangSong"/>
          <w:color w:val="000000"/>
          <w:sz w:val="28"/>
        </w:rPr>
        <w:t xml:space="preserve">；承建（承接）企业为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万元1，属于（中型企业、小型企业、微型企业）；</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（标的名称） </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（采购文件中明确的所属行业）</w:t>
      </w:r>
      <w:r>
        <w:rPr>
          <w:rFonts w:ascii="FangSong" w:hAnsi="FangSong" w:eastAsia="FangSong" w:cs="FangSong"/>
          <w:color w:val="000000"/>
          <w:sz w:val="28"/>
        </w:rPr>
        <w:t xml:space="preserve">；承建（承接）企业为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0" w:firstLine="496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企业名称（盖章）：</w:t>
      </w:r>
      <w:r/>
    </w:p>
    <w:p>
      <w:pPr>
        <w:ind w:left="0" w:right="0" w:firstLine="496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3.5投标偏离表（格式自拟）</w:t>
      </w:r>
      <w:r/>
    </w:p>
    <w:p>
      <w:pPr>
        <w:ind w:left="0" w:right="0" w:firstLine="490"/>
        <w:jc w:val="center"/>
        <w:spacing w:before="0" w:after="0" w:line="48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投标偏离表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w:t>
      </w:r>
      <w:r>
        <w:rPr>
          <w:rFonts w:ascii="SimSun" w:hAnsi="SimSun" w:eastAsia="SimSun" w:cs="SimSun"/>
          <w:color w:val="000000"/>
          <w:sz w:val="24"/>
        </w:rPr>
        <w:t xml:space="preserve">                  </w:t>
      </w:r>
      <w:r>
        <w:rPr>
          <w:rFonts w:ascii="SimHei" w:hAnsi="SimHei" w:eastAsia="SimHei" w:cs="SimHei"/>
          <w:color w:val="000000"/>
          <w:sz w:val="24"/>
        </w:rPr>
        <w:t xml:space="preserve">采购项目编号：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2683"/>
        <w:gridCol w:w="2683"/>
        <w:gridCol w:w="218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法定代表人或法定代表人授权代表签字或盖章：</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注：（1）本表不得删除；</w:t>
      </w:r>
      <w:r/>
    </w:p>
    <w:p>
      <w:pPr>
        <w:ind w:left="0" w:right="0" w:firstLine="42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（2）如无任何技术偏离，请于本表 “偏离说明”中注明“无偏离”；</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（3）如有技术偏离项，请于本表中列明偏离内容，如需要可自行延长，其余无偏离内容不须赘述。</w:t>
      </w:r>
      <w:r/>
    </w:p>
    <w:p>
      <w:pPr>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3.6.供应商认为应列入投标文件得到其他材料</w:t>
      </w:r>
      <w:r/>
    </w:p>
    <w:p>
      <w:pPr>
        <w:ind w:left="0" w:right="0" w:firstLine="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3.7附件：</w:t>
      </w:r>
      <w:r/>
    </w:p>
    <w:p>
      <w:pPr>
        <w:ind w:left="0" w:right="0" w:firstLine="0"/>
        <w:jc w:val="both"/>
        <w:spacing w:before="30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1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ab/>
        <w:tab/>
        <w:tab/>
        <w:tab/>
        <w:tab/>
        <w:tab/>
        <w:tab/>
        <w:tab/>
        <w:tab/>
        <w:tab/>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ab/>
        <w:tab/>
        <w:tab/>
        <w:tab/>
        <w:tab/>
        <w:tab/>
        <w:tab/>
        <w:tab/>
        <w:tab/>
        <w:tab/>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ab/>
        <w:tab/>
        <w:t xml:space="preserve">  </w:t>
        <w:tab/>
        <w:tab/>
        <w:tab/>
        <w:t xml:space="preserve">       </w:t>
        <w:tab/>
        <w:tab/>
        <w:tab/>
        <w:tab/>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ab/>
        <w:t xml:space="preserve">                                            </w:t>
        <w:tab/>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邮箱：</w:t>
      </w:r>
      <w:r>
        <w:rPr>
          <w:rFonts w:ascii="SimSun" w:hAnsi="SimSun" w:eastAsia="SimSun" w:cs="SimSun"/>
          <w:color w:val="000000"/>
          <w:sz w:val="24"/>
          <w:u w:val="single"/>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（供应商单位名称）</w:t>
      </w:r>
      <w:r>
        <w:rPr>
          <w:rFonts w:ascii="SimSun" w:hAnsi="SimSun" w:eastAsia="SimSun" w:cs="SimSun"/>
          <w:color w:val="000000"/>
          <w:sz w:val="24"/>
        </w:rPr>
        <w:t xml:space="preserve">的法定代表人。</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附身份证复印件</w:t>
      </w:r>
      <w:r/>
    </w:p>
    <w:p>
      <w:pPr>
        <w:ind w:left="0" w:right="0" w:firstLine="480"/>
        <w:jc w:val="both"/>
        <w:spacing w:before="0" w:after="0" w:line="40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40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（盖公章）</w:t>
      </w:r>
      <w:r/>
    </w:p>
    <w:p>
      <w:pPr>
        <w:ind w:left="0" w:right="0" w:firstLine="4440"/>
        <w:jc w:val="both"/>
        <w:spacing w:before="0" w:after="0" w:line="40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rPr>
          <w:rFonts w:ascii="SimSun" w:hAnsi="SimSun" w:eastAsia="SimSun" w:cs="SimSun"/>
          <w:color w:val="000000"/>
          <w:sz w:val="24"/>
          <w:u w:val="single"/>
        </w:rPr>
        <w:t xml:space="preserve">：</w:t>
      </w:r>
      <w:r/>
    </w:p>
    <w:p>
      <w:pPr>
        <w:ind w:left="0" w:right="0" w:firstLine="4440"/>
        <w:jc w:val="both"/>
        <w:spacing w:before="0" w:after="0" w:line="40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委托人（供应商）：</w:t>
      </w:r>
      <w:r>
        <w:rPr>
          <w:rFonts w:ascii="SimSun" w:hAnsi="SimSun" w:eastAsia="SimSun" w:cs="SimSun"/>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受委托人（一）：</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受委托人（一）身份证号码：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邮箱：</w:t>
      </w:r>
      <w:r>
        <w:rPr>
          <w:rFonts w:ascii="SimSun" w:hAnsi="SimSun" w:eastAsia="SimSun" w:cs="SimSun"/>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现委托上述受委托人在</w:t>
      </w:r>
      <w:r>
        <w:rPr>
          <w:rFonts w:ascii="SimSun" w:hAnsi="SimSun" w:eastAsia="SimSun" w:cs="SimSun"/>
          <w:color w:val="000000"/>
          <w:sz w:val="24"/>
          <w:u w:val="single"/>
        </w:rPr>
        <w:t xml:space="preserve">   （招标项目名称）     </w:t>
      </w:r>
      <w:r>
        <w:rPr>
          <w:rFonts w:ascii="SimSun" w:hAnsi="SimSun" w:eastAsia="SimSun" w:cs="SimSun"/>
          <w:color w:val="000000"/>
          <w:sz w:val="24"/>
        </w:rPr>
        <w:t xml:space="preserve">招标投标活动中，作为委托人的授权委托人。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委托事项：领取采购文件、编制、签署、递交、说明补正响应文件、签订合同和处理有关事宜等特别授权。受委托人联合行使或独立行使的委托权限，其法律后果由委托人承担。</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投标事务负责人无转委托权。采购人（采购代理机构）有权拒绝其他任何代表委托人行使的投标事宜，以及超出本授权范围的其他事宜。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w:t>
      </w:r>
      <w:r>
        <w:rPr>
          <w:rFonts w:ascii="SimSun" w:hAnsi="SimSun" w:eastAsia="SimSun" w:cs="SimSun"/>
          <w:color w:val="000000"/>
          <w:sz w:val="24"/>
          <w:u w:val="single"/>
        </w:rPr>
        <w:t xml:space="preserve">   </w:t>
      </w:r>
      <w:r>
        <w:rPr>
          <w:rFonts w:ascii="SimSun" w:hAnsi="SimSun" w:eastAsia="SimSun" w:cs="SimSun"/>
          <w:color w:val="000000"/>
          <w:sz w:val="24"/>
        </w:rPr>
        <w:t xml:space="preserve">日，自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1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（附身份证复印件）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受委托人：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480" w:right="0" w:firstLine="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sectPr>
      <w:footnotePr/>
      <w:endnotePr/>
      <w:type w:val="nextPage"/>
      <w:pgSz w:w="11906" w:h="16838" w:orient="portrait"/>
      <w:pgMar w:top="1213" w:right="1558" w:bottom="115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方正仿宋_GBK">
    <w:panose1 w:val="020B0503020202020204"/>
  </w:font>
  <w:font w:name="仿宋">
    <w:panose1 w:val="02010609060101010101"/>
  </w:font>
  <w:font w:name="仿宋_GB2312">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50"/>
          <w:jc w:val="center"/>
        </w:pPr>
        <w:r>
          <w:fldChar w:fldCharType="begin"/>
        </w:r>
        <w:r>
          <w:instrText xml:space="preserve">PAGE   \* MERGEFORMAT</w:instrText>
        </w:r>
        <w:r>
          <w:fldChar w:fldCharType="separate"/>
        </w:r>
        <w:r>
          <w:rPr>
            <w:lang w:val="zh-CN"/>
          </w:rPr>
          <w:t xml:space="preserve">50</w:t>
        </w:r>
        <w:r>
          <w:fldChar w:fldCharType="end"/>
        </w:r>
        <w:r/>
      </w:p>
    </w:sdtContent>
  </w:sdt>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7"/>
    <w:link w:val="633"/>
    <w:uiPriority w:val="9"/>
    <w:rPr>
      <w:rFonts w:ascii="Arial" w:hAnsi="Arial" w:eastAsia="Arial" w:cs="Arial"/>
      <w:sz w:val="40"/>
      <w:szCs w:val="40"/>
    </w:rPr>
  </w:style>
  <w:style w:type="character" w:styleId="15">
    <w:name w:val="Heading 2 Char"/>
    <w:basedOn w:val="637"/>
    <w:link w:val="634"/>
    <w:uiPriority w:val="9"/>
    <w:rPr>
      <w:rFonts w:ascii="Arial" w:hAnsi="Arial" w:eastAsia="Arial" w:cs="Arial"/>
      <w:sz w:val="34"/>
    </w:rPr>
  </w:style>
  <w:style w:type="character" w:styleId="17">
    <w:name w:val="Heading 3 Char"/>
    <w:basedOn w:val="637"/>
    <w:link w:val="635"/>
    <w:uiPriority w:val="9"/>
    <w:rPr>
      <w:rFonts w:ascii="Arial" w:hAnsi="Arial" w:eastAsia="Arial" w:cs="Arial"/>
      <w:sz w:val="30"/>
      <w:szCs w:val="30"/>
    </w:rPr>
  </w:style>
  <w:style w:type="character" w:styleId="19">
    <w:name w:val="Heading 4 Char"/>
    <w:basedOn w:val="637"/>
    <w:link w:val="636"/>
    <w:uiPriority w:val="9"/>
    <w:rPr>
      <w:rFonts w:ascii="Arial" w:hAnsi="Arial" w:eastAsia="Arial" w:cs="Arial"/>
      <w:b/>
      <w:bCs/>
      <w:sz w:val="26"/>
      <w:szCs w:val="26"/>
    </w:rPr>
  </w:style>
  <w:style w:type="paragraph" w:styleId="20">
    <w:name w:val="Heading 5"/>
    <w:basedOn w:val="632"/>
    <w:next w:val="6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2"/>
    <w:next w:val="6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2"/>
    <w:next w:val="6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2"/>
    <w:next w:val="6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2"/>
    <w:next w:val="6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2"/>
    <w:next w:val="632"/>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2"/>
    <w:next w:val="632"/>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2"/>
    <w:next w:val="632"/>
    <w:link w:val="38"/>
    <w:uiPriority w:val="29"/>
    <w:qFormat/>
    <w:pPr>
      <w:ind w:left="720" w:right="720"/>
    </w:pPr>
    <w:rPr>
      <w:i/>
    </w:rPr>
  </w:style>
  <w:style w:type="character" w:styleId="38">
    <w:name w:val="Quote Char"/>
    <w:link w:val="37"/>
    <w:uiPriority w:val="29"/>
    <w:rPr>
      <w:i/>
    </w:rPr>
  </w:style>
  <w:style w:type="paragraph" w:styleId="39">
    <w:name w:val="Intense Quote"/>
    <w:basedOn w:val="632"/>
    <w:next w:val="6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52"/>
    <w:uiPriority w:val="99"/>
  </w:style>
  <w:style w:type="character" w:styleId="44">
    <w:name w:val="Footer Char"/>
    <w:basedOn w:val="637"/>
    <w:link w:val="650"/>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650"/>
    <w:uiPriority w:val="99"/>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2">
    <w:name w:val="toc 3"/>
    <w:basedOn w:val="632"/>
    <w:next w:val="632"/>
    <w:uiPriority w:val="39"/>
    <w:unhideWhenUsed/>
    <w:pPr>
      <w:ind w:left="567" w:right="0" w:firstLine="0"/>
      <w:spacing w:after="57"/>
    </w:pPr>
  </w:style>
  <w:style w:type="paragraph" w:styleId="183">
    <w:name w:val="toc 4"/>
    <w:basedOn w:val="632"/>
    <w:next w:val="632"/>
    <w:uiPriority w:val="39"/>
    <w:unhideWhenUsed/>
    <w:pPr>
      <w:ind w:left="850" w:right="0" w:firstLine="0"/>
      <w:spacing w:after="57"/>
    </w:pPr>
  </w:style>
  <w:style w:type="paragraph" w:styleId="184">
    <w:name w:val="toc 5"/>
    <w:basedOn w:val="632"/>
    <w:next w:val="632"/>
    <w:uiPriority w:val="39"/>
    <w:unhideWhenUsed/>
    <w:pPr>
      <w:ind w:left="1134" w:right="0" w:firstLine="0"/>
      <w:spacing w:after="57"/>
    </w:pPr>
  </w:style>
  <w:style w:type="paragraph" w:styleId="185">
    <w:name w:val="toc 6"/>
    <w:basedOn w:val="632"/>
    <w:next w:val="632"/>
    <w:uiPriority w:val="39"/>
    <w:unhideWhenUsed/>
    <w:pPr>
      <w:ind w:left="1417" w:right="0" w:firstLine="0"/>
      <w:spacing w:after="57"/>
    </w:pPr>
  </w:style>
  <w:style w:type="paragraph" w:styleId="187">
    <w:name w:val="toc 8"/>
    <w:basedOn w:val="632"/>
    <w:next w:val="632"/>
    <w:uiPriority w:val="39"/>
    <w:unhideWhenUsed/>
    <w:pPr>
      <w:ind w:left="1984" w:right="0" w:firstLine="0"/>
      <w:spacing w:after="57"/>
    </w:pPr>
  </w:style>
  <w:style w:type="paragraph" w:styleId="188">
    <w:name w:val="toc 9"/>
    <w:basedOn w:val="632"/>
    <w:next w:val="6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2"/>
    <w:next w:val="632"/>
    <w:uiPriority w:val="99"/>
    <w:unhideWhenUsed/>
    <w:pPr>
      <w:spacing w:after="0" w:afterAutospacing="0"/>
    </w:pPr>
  </w:style>
  <w:style w:type="paragraph" w:styleId="632"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33">
    <w:name w:val="Heading 1"/>
    <w:basedOn w:val="632"/>
    <w:next w:val="632"/>
    <w:uiPriority w:val="0"/>
    <w:qFormat/>
    <w:pPr>
      <w:keepLines/>
      <w:keepNext/>
      <w:spacing w:before="340" w:after="330" w:line="578" w:lineRule="auto"/>
      <w:outlineLvl w:val="0"/>
    </w:pPr>
    <w:rPr>
      <w:b/>
      <w:bCs/>
      <w:sz w:val="44"/>
      <w:szCs w:val="44"/>
    </w:rPr>
  </w:style>
  <w:style w:type="paragraph" w:styleId="634">
    <w:name w:val="Heading 2"/>
    <w:basedOn w:val="632"/>
    <w:next w:val="63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5">
    <w:name w:val="Heading 3"/>
    <w:basedOn w:val="632"/>
    <w:next w:val="632"/>
    <w:uiPriority w:val="9"/>
    <w:qFormat/>
    <w:pPr>
      <w:jc w:val="left"/>
      <w:keepLines/>
      <w:keepNext/>
      <w:spacing w:before="360" w:after="120"/>
      <w:outlineLvl w:val="2"/>
    </w:pPr>
    <w:rPr>
      <w:rFonts w:ascii="宋体"/>
      <w:b/>
      <w:szCs w:val="20"/>
      <w:u w:val="single"/>
    </w:rPr>
  </w:style>
  <w:style w:type="paragraph" w:styleId="636">
    <w:name w:val="Heading 4"/>
    <w:basedOn w:val="632"/>
    <w:next w:val="632"/>
    <w:uiPriority w:val="9"/>
    <w:unhideWhenUsed/>
    <w:qFormat/>
    <w:pPr>
      <w:keepLines/>
      <w:keepNext/>
      <w:spacing w:before="320" w:after="200"/>
      <w:outlineLvl w:val="3"/>
    </w:pPr>
    <w:rPr>
      <w:rFonts w:ascii="Arial" w:hAnsi="Arial" w:eastAsia="Arial" w:cs="Arial"/>
      <w:b/>
      <w:bCs/>
      <w:sz w:val="26"/>
      <w:szCs w:val="26"/>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Normal Indent"/>
    <w:basedOn w:val="632"/>
    <w:next w:val="632"/>
    <w:uiPriority w:val="0"/>
    <w:qFormat/>
    <w:pPr>
      <w:ind w:firstLine="420"/>
    </w:pPr>
    <w:rPr>
      <w:szCs w:val="21"/>
    </w:rPr>
  </w:style>
  <w:style w:type="paragraph" w:styleId="640">
    <w:name w:val="toc 7"/>
    <w:basedOn w:val="632"/>
    <w:next w:val="632"/>
    <w:uiPriority w:val="39"/>
    <w:unhideWhenUsed/>
    <w:qFormat/>
    <w:pPr>
      <w:ind w:left="1260"/>
      <w:jc w:val="left"/>
    </w:pPr>
    <w:rPr>
      <w:sz w:val="18"/>
      <w:szCs w:val="18"/>
    </w:rPr>
  </w:style>
  <w:style w:type="paragraph" w:styleId="641">
    <w:name w:val="Document Map"/>
    <w:basedOn w:val="632"/>
    <w:link w:val="678"/>
    <w:uiPriority w:val="99"/>
    <w:unhideWhenUsed/>
    <w:qFormat/>
    <w:rPr>
      <w:rFonts w:ascii="宋体"/>
      <w:sz w:val="18"/>
      <w:szCs w:val="18"/>
    </w:rPr>
  </w:style>
  <w:style w:type="paragraph" w:styleId="642">
    <w:name w:val="annotation text"/>
    <w:basedOn w:val="632"/>
    <w:link w:val="679"/>
    <w:uiPriority w:val="99"/>
    <w:unhideWhenUsed/>
    <w:qFormat/>
    <w:pPr>
      <w:jc w:val="left"/>
    </w:pPr>
  </w:style>
  <w:style w:type="paragraph" w:styleId="643">
    <w:name w:val="Body Text"/>
    <w:basedOn w:val="632"/>
    <w:next w:val="644"/>
    <w:link w:val="670"/>
    <w:uiPriority w:val="99"/>
    <w:qFormat/>
    <w:pPr>
      <w:spacing w:after="120"/>
    </w:pPr>
  </w:style>
  <w:style w:type="paragraph" w:styleId="644">
    <w:name w:val="toc 2"/>
    <w:basedOn w:val="632"/>
    <w:next w:val="632"/>
    <w:uiPriority w:val="39"/>
    <w:qFormat/>
    <w:pPr>
      <w:ind w:left="210"/>
      <w:jc w:val="left"/>
    </w:pPr>
    <w:rPr>
      <w:smallCaps/>
      <w:sz w:val="20"/>
      <w:szCs w:val="20"/>
    </w:rPr>
  </w:style>
  <w:style w:type="paragraph" w:styleId="645">
    <w:name w:val="Body Text Indent"/>
    <w:basedOn w:val="632"/>
    <w:next w:val="632"/>
    <w:uiPriority w:val="0"/>
    <w:qFormat/>
    <w:pPr>
      <w:ind w:left="420"/>
      <w:spacing w:after="120"/>
    </w:pPr>
    <w:rPr>
      <w:rFonts w:ascii="Calibri" w:hAnsi="Calibri"/>
    </w:rPr>
  </w:style>
  <w:style w:type="paragraph" w:styleId="646">
    <w:name w:val="index 4"/>
    <w:basedOn w:val="632"/>
    <w:next w:val="632"/>
    <w:uiPriority w:val="99"/>
    <w:unhideWhenUsed/>
    <w:qFormat/>
    <w:pPr>
      <w:ind w:firstLine="200"/>
    </w:pPr>
  </w:style>
  <w:style w:type="paragraph" w:styleId="647">
    <w:name w:val="Plain Text"/>
    <w:basedOn w:val="632"/>
    <w:uiPriority w:val="99"/>
    <w:qFormat/>
    <w:rPr>
      <w:rFonts w:ascii="宋体" w:hAnsi="Courier New"/>
      <w:szCs w:val="21"/>
    </w:rPr>
  </w:style>
  <w:style w:type="paragraph" w:styleId="648">
    <w:name w:val="Body Text Indent 2"/>
    <w:basedOn w:val="632"/>
    <w:uiPriority w:val="0"/>
    <w:qFormat/>
    <w:pPr>
      <w:ind w:left="420"/>
      <w:spacing w:after="120" w:line="480" w:lineRule="auto"/>
    </w:pPr>
  </w:style>
  <w:style w:type="paragraph" w:styleId="649">
    <w:name w:val="Balloon Text"/>
    <w:basedOn w:val="632"/>
    <w:link w:val="677"/>
    <w:uiPriority w:val="99"/>
    <w:semiHidden/>
    <w:unhideWhenUsed/>
    <w:qFormat/>
    <w:rPr>
      <w:sz w:val="18"/>
      <w:szCs w:val="18"/>
    </w:rPr>
  </w:style>
  <w:style w:type="paragraph" w:styleId="650">
    <w:name w:val="Footer"/>
    <w:basedOn w:val="632"/>
    <w:link w:val="676"/>
    <w:uiPriority w:val="99"/>
    <w:unhideWhenUsed/>
    <w:qFormat/>
    <w:pPr>
      <w:jc w:val="left"/>
      <w:tabs>
        <w:tab w:val="center" w:pos="4153" w:leader="none"/>
        <w:tab w:val="right" w:pos="8306" w:leader="none"/>
      </w:tabs>
    </w:pPr>
    <w:rPr>
      <w:sz w:val="18"/>
      <w:szCs w:val="18"/>
    </w:rPr>
  </w:style>
  <w:style w:type="paragraph" w:styleId="651">
    <w:name w:val="envelope return"/>
    <w:basedOn w:val="632"/>
    <w:uiPriority w:val="0"/>
    <w:qFormat/>
  </w:style>
  <w:style w:type="paragraph" w:styleId="652">
    <w:name w:val="Header"/>
    <w:basedOn w:val="632"/>
    <w:link w:val="67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3">
    <w:name w:val="toc 1"/>
    <w:basedOn w:val="632"/>
    <w:next w:val="632"/>
    <w:uiPriority w:val="39"/>
    <w:semiHidden/>
    <w:unhideWhenUsed/>
    <w:qFormat/>
  </w:style>
  <w:style w:type="paragraph" w:styleId="654">
    <w:name w:val="List"/>
    <w:basedOn w:val="632"/>
    <w:next w:val="632"/>
    <w:uiPriority w:val="0"/>
    <w:qFormat/>
    <w:pPr>
      <w:ind w:left="420" w:hanging="420"/>
    </w:pPr>
    <w:rPr>
      <w:rFonts w:ascii="Arial" w:hAnsi="Arial" w:eastAsia="楷体_GB2312"/>
      <w:sz w:val="28"/>
    </w:rPr>
  </w:style>
  <w:style w:type="paragraph" w:styleId="655">
    <w:name w:val="Body Text Indent 3"/>
    <w:basedOn w:val="632"/>
    <w:link w:val="671"/>
    <w:uiPriority w:val="99"/>
    <w:qFormat/>
    <w:pPr>
      <w:ind w:left="645" w:firstLine="645"/>
    </w:pPr>
    <w:rPr>
      <w:rFonts w:ascii="Arial" w:hAnsi="Arial" w:eastAsia="仿宋_GB2312"/>
      <w:color w:val="ffff00"/>
      <w:sz w:val="32"/>
      <w:szCs w:val="20"/>
    </w:rPr>
  </w:style>
  <w:style w:type="paragraph" w:styleId="656">
    <w:name w:val="Body Text 2"/>
    <w:basedOn w:val="632"/>
    <w:uiPriority w:val="99"/>
    <w:qFormat/>
    <w:rPr>
      <w:rFonts w:eastAsia="仿宋_GB2312"/>
      <w:color w:val="000000"/>
    </w:rPr>
  </w:style>
  <w:style w:type="paragraph" w:styleId="657">
    <w:name w:val="Normal (Web)"/>
    <w:basedOn w:val="632"/>
    <w:uiPriority w:val="99"/>
    <w:qFormat/>
    <w:pPr>
      <w:jc w:val="left"/>
      <w:spacing w:before="150" w:after="150" w:line="480" w:lineRule="auto"/>
    </w:pPr>
    <w:rPr>
      <w:rFonts w:hint="eastAsia" w:ascii="宋体" w:hAnsi="宋体"/>
      <w:color w:val="000000"/>
    </w:rPr>
  </w:style>
  <w:style w:type="paragraph" w:styleId="658">
    <w:name w:val="annotation subject"/>
    <w:basedOn w:val="642"/>
    <w:next w:val="642"/>
    <w:link w:val="680"/>
    <w:uiPriority w:val="99"/>
    <w:semiHidden/>
    <w:unhideWhenUsed/>
    <w:qFormat/>
    <w:rPr>
      <w:b/>
      <w:bCs/>
    </w:rPr>
  </w:style>
  <w:style w:type="paragraph" w:styleId="659">
    <w:name w:val="Body Text First Indent"/>
    <w:basedOn w:val="643"/>
    <w:uiPriority w:val="0"/>
    <w:qFormat/>
    <w:pPr>
      <w:ind w:firstLine="200"/>
      <w:spacing w:line="360" w:lineRule="auto"/>
    </w:pPr>
    <w:rPr>
      <w:rFonts w:ascii="仿宋_GB2312" w:hAnsi="Arial" w:eastAsia="仿宋_GB2312"/>
      <w:sz w:val="30"/>
      <w:szCs w:val="30"/>
    </w:rPr>
  </w:style>
  <w:style w:type="paragraph" w:styleId="660">
    <w:name w:val="Body Text First Indent 2"/>
    <w:basedOn w:val="645"/>
    <w:next w:val="639"/>
    <w:uiPriority w:val="0"/>
    <w:qFormat/>
    <w:pPr>
      <w:ind w:left="0" w:firstLine="420"/>
      <w:spacing w:after="0" w:line="360" w:lineRule="auto"/>
    </w:pPr>
    <w:rPr>
      <w:rFonts w:ascii="宋体" w:hAnsi="宋体"/>
      <w:sz w:val="20"/>
      <w:szCs w:val="20"/>
    </w:rPr>
  </w:style>
  <w:style w:type="table" w:styleId="661">
    <w:name w:val="Table Grid"/>
    <w:basedOn w:val="63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2">
    <w:name w:val="Strong"/>
    <w:basedOn w:val="637"/>
    <w:uiPriority w:val="22"/>
    <w:qFormat/>
    <w:rPr>
      <w:b/>
    </w:rPr>
  </w:style>
  <w:style w:type="character" w:styleId="663">
    <w:name w:val="Hyperlink"/>
    <w:uiPriority w:val="99"/>
    <w:qFormat/>
    <w:rPr>
      <w:rFonts w:cs="Times New Roman"/>
      <w:color w:val="336699"/>
      <w:sz w:val="18"/>
      <w:u w:val="none"/>
    </w:rPr>
  </w:style>
  <w:style w:type="character" w:styleId="664">
    <w:name w:val="annotation reference"/>
    <w:basedOn w:val="637"/>
    <w:uiPriority w:val="99"/>
    <w:semiHidden/>
    <w:unhideWhenUsed/>
    <w:qFormat/>
    <w:rPr>
      <w:sz w:val="21"/>
      <w:szCs w:val="21"/>
    </w:rPr>
  </w:style>
  <w:style w:type="paragraph" w:styleId="665" w:customStyle="1">
    <w:name w:val="正文1"/>
    <w:basedOn w:val="632"/>
    <w:next w:val="632"/>
    <w:uiPriority w:val="0"/>
    <w:qFormat/>
    <w:pPr>
      <w:ind w:firstLine="425"/>
    </w:pPr>
    <w:rPr>
      <w:rFonts w:ascii="Calibri" w:hAnsi="Calibri"/>
      <w:szCs w:val="20"/>
    </w:rPr>
  </w:style>
  <w:style w:type="paragraph" w:styleId="666" w:customStyle="1">
    <w:name w:val="首行缩进"/>
    <w:basedOn w:val="632"/>
    <w:uiPriority w:val="0"/>
    <w:qFormat/>
    <w:pPr>
      <w:ind w:firstLine="480"/>
      <w:spacing w:line="360" w:lineRule="auto"/>
    </w:pPr>
    <w:rPr>
      <w:rFonts w:hAnsi="宋体" w:cs="宋体"/>
    </w:rPr>
  </w:style>
  <w:style w:type="paragraph" w:styleId="667" w:customStyle="1">
    <w:name w:val="段"/>
    <w:next w:val="632"/>
    <w:uiPriority w:val="0"/>
    <w:qFormat/>
    <w:pPr>
      <w:ind w:firstLine="200"/>
      <w:jc w:val="both"/>
    </w:pPr>
    <w:rPr>
      <w:rFonts w:ascii="宋体" w:hAnsi="Times New Roman" w:eastAsia="宋体" w:cs="Times New Roman"/>
      <w:sz w:val="21"/>
      <w:lang w:val="en-US" w:eastAsia="zh-CN" w:bidi="ar-SA"/>
    </w:rPr>
  </w:style>
  <w:style w:type="character" w:styleId="668" w:customStyle="1">
    <w:name w:val="正文文本 Char"/>
    <w:basedOn w:val="637"/>
    <w:uiPriority w:val="99"/>
    <w:semiHidden/>
    <w:qFormat/>
    <w:rPr>
      <w:rFonts w:ascii="Times New Roman" w:hAnsi="Times New Roman" w:eastAsia="宋体" w:cs="Times New Roman"/>
      <w:sz w:val="24"/>
      <w:szCs w:val="24"/>
    </w:rPr>
  </w:style>
  <w:style w:type="character" w:styleId="669" w:customStyle="1">
    <w:name w:val="正文文本缩进 3 Char"/>
    <w:basedOn w:val="637"/>
    <w:uiPriority w:val="99"/>
    <w:semiHidden/>
    <w:qFormat/>
    <w:rPr>
      <w:rFonts w:ascii="Times New Roman" w:hAnsi="Times New Roman" w:eastAsia="宋体" w:cs="Times New Roman"/>
      <w:sz w:val="16"/>
      <w:szCs w:val="16"/>
    </w:rPr>
  </w:style>
  <w:style w:type="character" w:styleId="670" w:customStyle="1">
    <w:name w:val="正文文本 字符"/>
    <w:link w:val="643"/>
    <w:uiPriority w:val="99"/>
    <w:qFormat/>
    <w:rPr>
      <w:rFonts w:ascii="Times New Roman" w:hAnsi="Times New Roman" w:eastAsia="宋体" w:cs="Times New Roman"/>
      <w:sz w:val="24"/>
      <w:szCs w:val="24"/>
    </w:rPr>
  </w:style>
  <w:style w:type="character" w:styleId="671" w:customStyle="1">
    <w:name w:val="正文文本缩进 3 字符"/>
    <w:link w:val="655"/>
    <w:uiPriority w:val="99"/>
    <w:qFormat/>
    <w:rPr>
      <w:rFonts w:ascii="Arial" w:hAnsi="Arial" w:eastAsia="仿宋_GB2312" w:cs="Times New Roman"/>
      <w:color w:val="ffff00"/>
      <w:sz w:val="32"/>
      <w:szCs w:val="20"/>
    </w:rPr>
  </w:style>
  <w:style w:type="paragraph" w:styleId="672"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73" w:customStyle="1">
    <w:name w:val="WPS Plain"/>
    <w:uiPriority w:val="0"/>
    <w:qFormat/>
    <w:rPr>
      <w:rFonts w:ascii="Times New Roman" w:hAnsi="Times New Roman" w:eastAsia="宋体" w:cs="Times New Roman"/>
      <w:lang w:val="en-US" w:eastAsia="zh-CN" w:bidi="ar-SA"/>
    </w:rPr>
  </w:style>
  <w:style w:type="paragraph" w:styleId="674">
    <w:name w:val="List Paragraph"/>
    <w:basedOn w:val="632"/>
    <w:uiPriority w:val="34"/>
    <w:qFormat/>
    <w:pPr>
      <w:ind w:firstLine="420"/>
    </w:pPr>
    <w:rPr>
      <w:rFonts w:eastAsia="Times New Roman"/>
    </w:rPr>
  </w:style>
  <w:style w:type="character" w:styleId="675" w:customStyle="1">
    <w:name w:val="页眉 字符"/>
    <w:basedOn w:val="637"/>
    <w:link w:val="652"/>
    <w:uiPriority w:val="99"/>
    <w:qFormat/>
    <w:rPr>
      <w:rFonts w:ascii="Times New Roman" w:hAnsi="Times New Roman" w:eastAsia="宋体" w:cs="Times New Roman"/>
      <w:sz w:val="18"/>
      <w:szCs w:val="18"/>
    </w:rPr>
  </w:style>
  <w:style w:type="character" w:styleId="676" w:customStyle="1">
    <w:name w:val="页脚 字符"/>
    <w:basedOn w:val="637"/>
    <w:link w:val="650"/>
    <w:uiPriority w:val="99"/>
    <w:qFormat/>
    <w:rPr>
      <w:rFonts w:ascii="Times New Roman" w:hAnsi="Times New Roman" w:eastAsia="宋体" w:cs="Times New Roman"/>
      <w:sz w:val="18"/>
      <w:szCs w:val="18"/>
    </w:rPr>
  </w:style>
  <w:style w:type="character" w:styleId="677" w:customStyle="1">
    <w:name w:val="批注框文本 字符"/>
    <w:basedOn w:val="637"/>
    <w:link w:val="649"/>
    <w:uiPriority w:val="99"/>
    <w:semiHidden/>
    <w:qFormat/>
    <w:rPr>
      <w:rFonts w:ascii="Times New Roman" w:hAnsi="Times New Roman" w:eastAsia="宋体" w:cs="Times New Roman"/>
      <w:sz w:val="18"/>
      <w:szCs w:val="18"/>
    </w:rPr>
  </w:style>
  <w:style w:type="character" w:styleId="678" w:customStyle="1">
    <w:name w:val="文档结构图 字符"/>
    <w:basedOn w:val="637"/>
    <w:link w:val="641"/>
    <w:uiPriority w:val="99"/>
    <w:qFormat/>
    <w:rPr>
      <w:rFonts w:ascii="宋体" w:hAnsi="Times New Roman" w:eastAsia="宋体" w:cs="Times New Roman"/>
      <w:sz w:val="18"/>
      <w:szCs w:val="18"/>
    </w:rPr>
  </w:style>
  <w:style w:type="character" w:styleId="679" w:customStyle="1">
    <w:name w:val="批注文字 字符"/>
    <w:basedOn w:val="637"/>
    <w:link w:val="642"/>
    <w:uiPriority w:val="99"/>
    <w:qFormat/>
    <w:rPr>
      <w:rFonts w:ascii="Times New Roman" w:hAnsi="Times New Roman" w:eastAsia="宋体" w:cs="Times New Roman"/>
      <w:sz w:val="24"/>
      <w:szCs w:val="24"/>
    </w:rPr>
  </w:style>
  <w:style w:type="character" w:styleId="680" w:customStyle="1">
    <w:name w:val="批注主题 字符"/>
    <w:basedOn w:val="679"/>
    <w:link w:val="658"/>
    <w:uiPriority w:val="99"/>
    <w:semiHidden/>
    <w:qFormat/>
    <w:rPr>
      <w:rFonts w:ascii="Times New Roman" w:hAnsi="Times New Roman" w:eastAsia="宋体" w:cs="Times New Roman"/>
      <w:b/>
      <w:bCs/>
      <w:sz w:val="24"/>
      <w:szCs w:val="24"/>
    </w:rPr>
  </w:style>
  <w:style w:type="paragraph" w:styleId="681" w:customStyle="1">
    <w:name w:val="正文首行缩进2字符"/>
    <w:basedOn w:val="632"/>
    <w:uiPriority w:val="0"/>
    <w:qFormat/>
    <w:pPr>
      <w:ind w:firstLine="482"/>
    </w:pPr>
  </w:style>
  <w:style w:type="character" w:styleId="682" w:customStyle="1">
    <w:name w:val="current"/>
    <w:basedOn w:val="637"/>
    <w:uiPriority w:val="0"/>
    <w:qFormat/>
    <w:rPr>
      <w:b/>
      <w:bCs/>
      <w:color w:val="05a7d8"/>
      <w:sz w:val="18"/>
      <w:szCs w:val="18"/>
    </w:rPr>
  </w:style>
  <w:style w:type="character" w:styleId="683" w:customStyle="1">
    <w:name w:val="l-btn-left"/>
    <w:basedOn w:val="637"/>
    <w:uiPriority w:val="0"/>
    <w:qFormat/>
  </w:style>
  <w:style w:type="character" w:styleId="684" w:customStyle="1">
    <w:name w:val="l-btn-text36"/>
    <w:basedOn w:val="637"/>
    <w:uiPriority w:val="0"/>
    <w:qFormat/>
  </w:style>
  <w:style w:type="character" w:styleId="685" w:customStyle="1">
    <w:name w:val="l-btn-text"/>
    <w:basedOn w:val="637"/>
    <w:uiPriority w:val="0"/>
    <w:qFormat/>
  </w:style>
  <w:style w:type="character" w:styleId="686" w:customStyle="1">
    <w:name w:val="grame"/>
    <w:basedOn w:val="637"/>
    <w:uiPriority w:val="0"/>
    <w:qFormat/>
  </w:style>
  <w:style w:type="paragraph" w:styleId="687" w:customStyle="1">
    <w:name w:val="标准文本"/>
    <w:basedOn w:val="632"/>
    <w:uiPriority w:val="0"/>
    <w:qFormat/>
    <w:pPr>
      <w:ind w:firstLine="480"/>
      <w:spacing w:line="360" w:lineRule="auto"/>
    </w:pPr>
    <w:rPr>
      <w:rFonts w:cs="宋体"/>
      <w:szCs w:val="20"/>
    </w:rPr>
  </w:style>
  <w:style w:type="paragraph" w:styleId="688"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89" w:customStyle="1">
    <w:name w:val="Table Paragraph"/>
    <w:basedOn w:val="632"/>
    <w:uiPriority w:val="99"/>
    <w:qFormat/>
  </w:style>
  <w:style w:type="paragraph" w:styleId="690" w:customStyle="1">
    <w:name w:val="普通正文"/>
    <w:basedOn w:val="632"/>
    <w:uiPriority w:val="0"/>
    <w:qFormat/>
    <w:pPr>
      <w:ind w:firstLine="480"/>
      <w:jc w:val="left"/>
      <w:spacing w:line="360" w:lineRule="auto"/>
    </w:pPr>
    <w:rPr>
      <w:rFonts w:ascii="Arial" w:hAnsi="Arial"/>
    </w:rPr>
  </w:style>
  <w:style w:type="paragraph" w:styleId="691" w:customStyle="1">
    <w:name w:val="正文缩进11"/>
    <w:basedOn w:val="632"/>
    <w:uiPriority w:val="99"/>
    <w:qFormat/>
    <w:rPr>
      <w:sz w:val="20"/>
      <w:szCs w:val="20"/>
    </w:rPr>
  </w:style>
  <w:style w:type="paragraph" w:styleId="692" w:customStyle="1">
    <w:name w:val="1.1.1.1"/>
    <w:uiPriority w:val="0"/>
    <w:qFormat/>
    <w:pPr>
      <w:ind w:firstLine="200"/>
      <w:keepLines/>
      <w:spacing w:line="520" w:lineRule="exact"/>
      <w:outlineLvl w:val="3"/>
    </w:pPr>
    <w:rPr>
      <w:rFonts w:ascii="Times New Roman" w:hAnsi="Times New Roman" w:eastAsia="方正仿宋_GBK" w:cs="Times New Roman"/>
      <w:b/>
      <w:sz w:val="24"/>
      <w:szCs w:val="22"/>
      <w:lang w:val="en-US" w:eastAsia="zh-CN" w:bidi="ar-SA"/>
    </w:rPr>
  </w:style>
  <w:style w:type="paragraph" w:styleId="693" w:customStyle="1">
    <w:name w:val="仿宋GBK正文"/>
    <w:basedOn w:val="632"/>
    <w:uiPriority w:val="0"/>
    <w:qFormat/>
  </w:style>
  <w:style w:type="paragraph" w:styleId="694" w:customStyle="1">
    <w:name w:val="WPSOffice手动目录 1"/>
    <w:uiPriority w:val="0"/>
    <w:qFormat/>
    <w:rPr>
      <w:rFonts w:ascii="Times New Roman" w:hAnsi="Times New Roman" w:eastAsia="宋体" w:cs="Times New Roman"/>
      <w:lang w:val="en-US" w:eastAsia="zh-CN" w:bidi="ar-SA"/>
    </w:rPr>
  </w:style>
  <w:style w:type="paragraph" w:styleId="695" w:customStyle="1">
    <w:name w:val="WPSOffice手动目录 2"/>
    <w:uiPriority w:val="0"/>
    <w:qFormat/>
    <w:pPr>
      <w:ind w:left="200"/>
    </w:pPr>
    <w:rPr>
      <w:rFonts w:ascii="Times New Roman" w:hAnsi="Times New Roman" w:eastAsia="宋体" w:cs="Times New Roman"/>
      <w:lang w:val="en-US" w:eastAsia="zh-CN" w:bidi="ar-SA"/>
    </w:rPr>
  </w:style>
  <w:style w:type="paragraph" w:styleId="696" w:customStyle="1">
    <w:name w:val="列出段落2"/>
    <w:basedOn w:val="632"/>
    <w:uiPriority w:val="99"/>
    <w:qFormat/>
    <w:pPr>
      <w:ind w:firstLine="420"/>
      <w:spacing w:line="360" w:lineRule="auto"/>
    </w:pPr>
    <w:rPr>
      <w:rFonts w:ascii="Calibri" w:hAnsi="Calibri" w:cs="Calibri"/>
    </w:rPr>
  </w:style>
  <w:style w:type="paragraph" w:styleId="697" w:customStyle="1">
    <w:name w:val="标题 11"/>
    <w:basedOn w:val="632"/>
    <w:next w:val="632"/>
    <w:uiPriority w:val="0"/>
    <w:qFormat/>
    <w:pPr>
      <w:keepLines/>
      <w:keepNext/>
      <w:spacing w:before="340" w:after="330" w:line="576" w:lineRule="auto"/>
      <w:outlineLvl w:val="0"/>
    </w:pPr>
    <w:rPr>
      <w:b/>
      <w:bCs/>
      <w:sz w:val="44"/>
      <w:szCs w:val="44"/>
    </w:rPr>
  </w:style>
  <w:style w:type="character" w:styleId="698" w:customStyle="1">
    <w:name w:val="NormalCharacter"/>
    <w:uiPriority w:val="0"/>
    <w:qFormat/>
    <w:rPr>
      <w:rFonts w:ascii="Times New Roman" w:hAnsi="Times New Roman" w:eastAsia="宋体" w:cs="Times New Roman"/>
    </w:rPr>
  </w:style>
  <w:style w:type="paragraph" w:styleId="699" w:customStyle="1">
    <w:name w:val="Table Text"/>
    <w:basedOn w:val="632"/>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700" w:customStyle="1">
    <w:name w:val="正文首行缩进 21"/>
    <w:basedOn w:val="701"/>
    <w:uiPriority w:val="0"/>
    <w:unhideWhenUsed/>
    <w:qFormat/>
    <w:pPr>
      <w:ind w:left="0" w:firstLine="420"/>
      <w:spacing w:after="0" w:line="360" w:lineRule="auto"/>
    </w:pPr>
    <w:rPr>
      <w:rFonts w:ascii="宋体" w:hAnsi="宋体"/>
      <w:szCs w:val="20"/>
    </w:rPr>
  </w:style>
  <w:style w:type="paragraph" w:styleId="701" w:customStyle="1">
    <w:name w:val="正文文本缩进11"/>
    <w:basedOn w:val="632"/>
    <w:uiPriority w:val="99"/>
    <w:unhideWhenUsed/>
    <w:qFormat/>
    <w:pPr>
      <w:ind w:left="420"/>
      <w:spacing w:after="120"/>
    </w:pPr>
  </w:style>
  <w:style w:type="paragraph" w:styleId="702" w:customStyle="1">
    <w:name w:val="Table of contents|1"/>
    <w:basedOn w:val="632"/>
    <w:uiPriority w:val="0"/>
    <w:qFormat/>
    <w:pPr>
      <w:ind w:firstLine="230"/>
      <w:spacing w:line="464" w:lineRule="exact"/>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703" w:customStyle="1">
    <w:name w:val="正文缩进1"/>
    <w:basedOn w:val="632"/>
    <w:uiPriority w:val="0"/>
    <w:qFormat/>
    <w:pPr>
      <w:ind w:firstLine="200"/>
      <w:jc w:val="left"/>
      <w:spacing w:line="360" w:lineRule="auto"/>
      <w:widowControl/>
    </w:pPr>
    <w:rPr>
      <w:rFonts w:cs="宋体"/>
      <w:sz w:val="24"/>
      <w:szCs w:val="20"/>
    </w:rPr>
  </w:style>
  <w:style w:type="numbering" w:styleId="12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杨益飞</cp:lastModifiedBy>
  <cp:revision>5</cp:revision>
  <dcterms:created xsi:type="dcterms:W3CDTF">2024-11-18T05:21:00Z</dcterms:created>
  <dcterms:modified xsi:type="dcterms:W3CDTF">2026-08-27T07:36:20Z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CA1690D9C8DA4A88A62DA44B965AE0C7_13</vt:lpwstr>
  </property>
  <property fmtid="{D5CDD505-2E9C-101B-9397-08002B2CF9AE}" pid="4" name="KSOTemplateDocerSaveRecord">
    <vt:lpwstr>eyJoZGlkIjoiOGE5MmVmYzZiMjM1MzQ5ZDljZjg5ZmRjZGI2MDU0MWUiLCJ1c2VySWQiOiI3ODYzNjkzMjMifQ==</vt:lpwstr>
  </property>
</Properties>
</file>